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3126-07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פינס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נשיא  נירה דסקין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 פינס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הרצל ביטון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שמואל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זילברמן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דוד פינס</w:t>
      </w:r>
      <w:r>
        <w:rPr>
          <w:b w:val="false"/>
          <w:bCs w:val="false"/>
          <w:u w:val="none"/>
          <w:rtl w:val="true"/>
        </w:rPr>
        <w:t xml:space="preserve">, 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לשכת תביעות מרחב שפלה – פלילי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בן יאיר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דוד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פינס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הרצל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ביטון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החלטה לגבי נאשם </w:t>
      </w:r>
      <w:r>
        <w:rPr>
          <w:rFonts w:cs="Arial" w:ascii="Arial" w:hAnsi="Arial"/>
          <w:b/>
          <w:bCs/>
          <w:sz w:val="28"/>
          <w:szCs w:val="28"/>
        </w:rPr>
        <w:t>1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מכוח הסכמת הנאשם אני מורה על ביטול כתב האישום מכוח סעיף </w:t>
      </w:r>
      <w:r>
        <w:rPr>
          <w:b/>
          <w:bCs/>
        </w:rPr>
        <w:t>94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 ל</w:t>
      </w:r>
      <w:hyperlink r:id="rId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סדר הדין הפלילי </w:t>
        </w:r>
        <w:r>
          <w:rPr>
            <w:rStyle w:val="Hyperlink"/>
            <w:b/>
            <w:bCs/>
            <w:rtl w:val="true"/>
          </w:rPr>
          <w:t>[</w:t>
        </w:r>
        <w:r>
          <w:rPr>
            <w:rStyle w:val="Hyperlink"/>
            <w:b/>
            <w:b/>
            <w:bCs/>
            <w:rtl w:val="true"/>
          </w:rPr>
          <w:t>נוסח משולב</w:t>
        </w:r>
        <w:r>
          <w:rPr>
            <w:rStyle w:val="Hyperlink"/>
            <w:b/>
            <w:bCs/>
            <w:rtl w:val="true"/>
          </w:rPr>
          <w:t>]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ב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1982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 צו להוצאות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נרשמה הצהרת הנאשם כי אין לו או למי מטעמו כל טענות לגבי התפוסים וכלפי המשטרה ויש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הסכמה כי רכוש שנתפס יחולט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יושמד לפי שיקול דעת המשטרה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BodyText"/>
        <w:ind w:end="0"/>
        <w:jc w:val="start"/>
        <w:rPr>
          <w:rFonts w:cs="David"/>
          <w:b/>
          <w:bCs/>
          <w:sz w:val="6"/>
          <w:szCs w:val="6"/>
        </w:rPr>
      </w:pPr>
      <w:bookmarkStart w:id="3" w:name="LastJudge"/>
      <w:bookmarkEnd w:id="3"/>
      <w:r>
        <w:rPr>
          <w:rFonts w:cs="David"/>
          <w:b/>
          <w:bCs/>
          <w:sz w:val="6"/>
          <w:szCs w:val="6"/>
          <w:rtl w:val="true"/>
        </w:rPr>
        <w:t>&lt;</w:t>
      </w:r>
      <w:r>
        <w:rPr>
          <w:rFonts w:cs="David"/>
          <w:b/>
          <w:bCs/>
          <w:sz w:val="6"/>
          <w:szCs w:val="6"/>
        </w:rPr>
        <w:t>#5#</w:t>
      </w:r>
      <w:r>
        <w:rPr>
          <w:rFonts w:cs="David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הכרעת דין </w:t>
      </w:r>
      <w:bookmarkEnd w:id="4"/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end="0"/>
        <w:jc w:val="start"/>
        <w:rPr>
          <w:rFonts w:cs="David"/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הודאת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הנאשם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מס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Cs/>
          <w:sz w:val="24"/>
        </w:rPr>
        <w:t>2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בעובדות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המיוחסות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בכתב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האישום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המתוקן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אני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מרשיעה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אותו</w:t>
      </w:r>
      <w:r>
        <w:rPr>
          <w:b/>
          <w:b/>
          <w:bCs/>
          <w:sz w:val="24"/>
          <w:sz w:val="24"/>
          <w:rtl w:val="true"/>
        </w:rPr>
        <w:t xml:space="preserve"> </w:t>
      </w:r>
    </w:p>
    <w:p>
      <w:pPr>
        <w:pStyle w:val="BodyText"/>
        <w:ind w:end="0"/>
        <w:jc w:val="start"/>
        <w:rPr>
          <w:rFonts w:cs="David"/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בעבירה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סעיף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413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</w:t>
      </w:r>
      <w:hyperlink r:id="rId3">
        <w:r>
          <w:rPr>
            <w:rStyle w:val="Hyperlink"/>
            <w:rFonts w:cs="David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התשל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ז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1977</w:t>
      </w:r>
      <w:r>
        <w:rPr>
          <w:rFonts w:cs="David"/>
          <w:b/>
          <w:bCs/>
          <w:sz w:val="24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הורשע על פי הודאתו בעבירה לפי 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 המיוחסת לו בכתב אישום אשר תוקן במסגרת הסדר טעון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ההסדר עותרים הצדדים במשותף ובהסכמה לענישה צופה פני עתיד שלצידה רכיב קונקרטי בדמות קנס ותוך הסכמה שרכוש שנתפס יחולט לאוצר 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שקלתי נסיבות הענין</w:t>
      </w:r>
      <w:r>
        <w:rPr>
          <w:rtl w:val="true"/>
        </w:rPr>
        <w:t xml:space="preserve">, </w:t>
      </w:r>
      <w:r>
        <w:rPr>
          <w:rtl w:val="true"/>
        </w:rPr>
        <w:t xml:space="preserve">טעוני באי כוח הצדדים ועל יסוד טעוני הצדדים המפורטים בפרוטוקול והסדר הטעון ותוך אימוצו ותוך מתן משקל משמעותי להודיה </w:t>
      </w:r>
      <w:r>
        <w:rPr>
          <w:rtl w:val="true"/>
        </w:rPr>
        <w:t xml:space="preserve">- </w:t>
      </w:r>
      <w:r>
        <w:rPr>
          <w:rtl w:val="true"/>
        </w:rPr>
        <w:t xml:space="preserve">כאשר בידוע הכלל לפיו  </w:t>
      </w:r>
      <w:r>
        <w:rPr>
          <w:rtl w:val="true"/>
        </w:rPr>
        <w:t>"</w:t>
      </w:r>
      <w:r>
        <w:rPr>
          <w:rtl w:val="true"/>
        </w:rPr>
        <w:t>מודה ועוזב ירוחם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מחליטה אני לאמץ את הסדר הטעון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תוך אימוץ הסדר הטעון 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/>
        <w:t>1</w:t>
      </w:r>
      <w:r>
        <w:rPr>
          <w:rtl w:val="true"/>
        </w:rPr>
        <w:t>.</w:t>
        <w:tab/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והתנאי הוא שלא יעבור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כל עבירת רכוש מסוג פשע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והתנאי הוא שלא יעבור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כל עבירת רכוש מסוג עוון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והתנאי הוא שלא יעבור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שנים מהיום כל עבירה לפי סעיף </w:t>
      </w:r>
      <w:r>
        <w:rPr>
          <w:b/>
          <w:bCs/>
        </w:rPr>
        <w:t>413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למקרה שהקנס לא ישולם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לפנים משורת הדין ישולם הקנס עד ליום </w:t>
      </w:r>
      <w:r>
        <w:rPr>
          <w:b/>
          <w:bCs/>
        </w:rPr>
        <w:t>1.2.2010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נרשמה הצהרת הנאשם כי אין לו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למי מטעמו כל טענות בנוגע לתפוסים וכלפי המשטרה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הרכוש שנתפס יחולט לטובת אוצר המדינה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יושמד והכל לפי שיקול דעת המשטרה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נרשמה הצהרת הנאשמים כי אין הפקדות בתיק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נירה דסקין </w:t>
      </w:r>
      <w:r>
        <w:rPr>
          <w:color w:val="000000"/>
          <w:sz w:val="22"/>
          <w:szCs w:val="22"/>
        </w:rPr>
        <w:t>54678313-3126/07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/Users/liorb/Downloads/study2025-p2/SH-07-3126-359.doc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3126-07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 פינס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720"/>
    </w:pPr>
    <w:rPr>
      <w:rFonts w:ascii="Times New Roman" w:hAnsi="Times New Roman" w:eastAsia="Times New Roman" w:cs="Times New Roman"/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55_096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2010-01-25T00:06:00Z</dcterms:created>
  <dc:creator> </dc:creator>
  <dc:description/>
  <cp:keywords/>
  <dc:language>en-IL</dc:language>
  <cp:lastModifiedBy>comp</cp:lastModifiedBy>
  <dcterms:modified xsi:type="dcterms:W3CDTF">2010-01-25T11:51:00Z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דוד פינס;הרצל ביטון</vt:lpwstr>
  </property>
  <property fmtid="{D5CDD505-2E9C-101B-9397-08002B2CF9AE}" pid="4" name="CITY">
    <vt:lpwstr>רמ'</vt:lpwstr>
  </property>
  <property fmtid="{D5CDD505-2E9C-101B-9397-08002B2CF9AE}" pid="5" name="DATE">
    <vt:lpwstr>20100121</vt:lpwstr>
  </property>
  <property fmtid="{D5CDD505-2E9C-101B-9397-08002B2CF9AE}" pid="6" name="DELEMATA">
    <vt:lpwstr/>
  </property>
  <property fmtid="{D5CDD505-2E9C-101B-9397-08002B2CF9AE}" pid="7" name="JUDGE">
    <vt:lpwstr>נירה דסקין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3126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3126</vt:lpwstr>
  </property>
  <property fmtid="{D5CDD505-2E9C-101B-9397-08002B2CF9AE}" pid="30" name="PROCYEAR">
    <vt:lpwstr>07</vt:lpwstr>
  </property>
  <property fmtid="{D5CDD505-2E9C-101B-9397-08002B2CF9AE}" pid="31" name="PSAKDIN">
    <vt:lpwstr>הכרעת-דין</vt:lpwstr>
  </property>
  <property fmtid="{D5CDD505-2E9C-101B-9397-08002B2CF9AE}" pid="32" name="RemarkFileName">
    <vt:lpwstr>shalom sh 07 3126 359 htm</vt:lpwstr>
  </property>
  <property fmtid="{D5CDD505-2E9C-101B-9397-08002B2CF9AE}" pid="33" name="TYPE">
    <vt:lpwstr>3</vt:lpwstr>
  </property>
  <property fmtid="{D5CDD505-2E9C-101B-9397-08002B2CF9AE}" pid="34" name="TYPE_ABS_DATE">
    <vt:lpwstr>380020100121</vt:lpwstr>
  </property>
  <property fmtid="{D5CDD505-2E9C-101B-9397-08002B2CF9AE}" pid="35" name="TYPE_N_DATE">
    <vt:lpwstr>38020100121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