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31498-01-16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יוסבאשוילי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59"/>
        <w:gridCol w:w="2736"/>
        <w:gridCol w:w="879"/>
      </w:tblGrid>
      <w:tr>
        <w:trPr>
          <w:trHeight w:val="295" w:hRule="atLeast"/>
        </w:trPr>
        <w:tc>
          <w:tcPr>
            <w:tcW w:w="7941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87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</w:t>
            </w:r>
          </w:p>
        </w:tc>
        <w:tc>
          <w:tcPr>
            <w:tcW w:w="36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61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eastAsia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5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יקיר יוסבאשוילי</w:t>
            </w:r>
          </w:p>
        </w:tc>
        <w:tc>
          <w:tcPr>
            <w:tcW w:w="36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autoSpaceDE w:val="false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הבסיס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06.01.16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מדוכה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סינוור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M7290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הרימונים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07.01.16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באוטובוס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שבאשדוד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autoSpaceDE w:val="false"/>
        <w:spacing w:lineRule="auto" w:line="360" w:before="0" w:after="200"/>
        <w:ind w:hanging="720" w:start="720" w:end="0"/>
        <w:jc w:val="both"/>
        <w:rPr/>
      </w:pPr>
      <w:bookmarkStart w:id="7" w:name="ABSTRACT_END"/>
      <w:bookmarkEnd w:id="7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ונשיאה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200"/>
        <w:ind w:firstLine="720" w:end="0"/>
        <w:jc w:val="both"/>
        <w:rPr/>
      </w:pP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חרדית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כטבח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בפיגועים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ממפקדיו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מתמודד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היחשפותו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לטראומות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שיאפשרו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גדילתו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גדילתו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ההתפתחותיים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וקיפוח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נגישותו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ולטראומה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והנפשית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וניצול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ברעש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ובהבזק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וסנוור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מוגבל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יהודה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מהצבא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המקסימלי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לבינונית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גפרור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ההתרחשויות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מדוכה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באוטובוס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המוזכרים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כברוב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ממיהות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מוצהרת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20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וזמינותו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המדאיגה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במחוזותינו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התגלגלותם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יובילו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בקטטה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בהדרגה</w:t>
      </w:r>
      <w:r>
        <w:rPr>
          <w:rFonts w:cs="Calibri" w:ascii="Calibri" w:hAnsi="Calibri"/>
          <w:rtl w:val="true"/>
        </w:rPr>
        <w:t xml:space="preserve">...".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05.06.13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200"/>
        <w:ind w:firstLine="720" w:end="0"/>
        <w:jc w:val="both"/>
        <w:rPr/>
      </w:pPr>
      <w:r>
        <w:rPr>
          <w:rFonts w:ascii="Calibri" w:hAnsi="Calibri" w:cs="Calibri"/>
          <w:rtl w:val="true"/>
        </w:rPr>
        <w:t>וב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7268/11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08.08.12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 w:before="0" w:after="20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לראותן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לצערנו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מפוקפקות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לעיתים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הצרכן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השרשרת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4.12.2011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נפאע</w:t>
      </w:r>
      <w:r>
        <w:rPr>
          <w:rFonts w:cs="Calibri" w:ascii="Calibri" w:hAnsi="Calibri"/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אגבריה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רימון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1,300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10499/02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אלמוג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/>
        <w:t>27.5.2003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tl w:val="true"/>
        </w:rPr>
        <w:t xml:space="preserve">, </w:t>
      </w:r>
      <w:r>
        <w:rPr>
          <w:rtl w:val="true"/>
        </w:rPr>
        <w:t>ובהזדמנות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Calibri" w:hAnsi="Calibri" w:cs="Calibri"/>
        </w:rPr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80"/>
        <w:ind w:start="1440" w:end="0"/>
        <w:jc w:val="both"/>
        <w:rPr>
          <w:rFonts w:ascii="Arial" w:hAnsi="Arial" w:cs="Arial"/>
        </w:rPr>
      </w:pPr>
      <w:r>
        <w:rPr>
          <w:rtl w:val="true"/>
        </w:rPr>
        <w:t>"...</w:t>
      </w:r>
      <w:r>
        <w:rPr>
          <w:rtl w:val="true"/>
        </w:rPr>
        <w:t>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הפיתוי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להרפתקה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... </w:t>
      </w:r>
      <w:r>
        <w:rPr>
          <w:b/>
          <w:b/>
          <w:bCs/>
          <w:rtl w:val="true"/>
        </w:rPr>
        <w:t>התלבטנו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כדרכה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החלטנו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8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4518/11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יעקב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עייאש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28.07.11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נחשון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מיחידתו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בנשקייה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יריחו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200"/>
        <w:ind w:start="1440" w:end="0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מוכנים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להניח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בגרסת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נקלעה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משפחתו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למצוקה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כלכלית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הפתרון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למצוקה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להימצא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גניבה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ממעביד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וחומר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בגניבה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ומכירתו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נרכשים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בחייהם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להשלים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כשהגניבה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מבוצעת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הביטחון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נדרש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להקפיד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כבחמורה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אדרבא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לרבים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בקצרה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30.1.13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1462/12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כפיר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51828-02-14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עטאללה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8338-12-13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זידאן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18.9.14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השוני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</w:t>
      </w:r>
      <w:r>
        <w:rPr>
          <w:rFonts w:cs="Calibri" w:ascii="Calibri" w:hAnsi="Calibri"/>
          <w:rtl w:val="true"/>
        </w:rPr>
        <w:t xml:space="preserve">. 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והכניסם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למכרם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ובעוצמות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ובקלות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ההבדלים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ופסיקתית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ורחבים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jc w:val="both"/>
        <w:rPr/>
      </w:pPr>
      <w:r>
        <w:rPr>
          <w:rFonts w:ascii="Calibri" w:hAnsi="Calibri" w:cs="Calibri"/>
          <w:rtl w:val="true"/>
        </w:rPr>
        <w:t>וכידוע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4295/15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אלצאנע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2.5.16</w:t>
      </w:r>
      <w:r>
        <w:rPr>
          <w:rFonts w:cs="Calibri" w:ascii="Calibri" w:hAnsi="Calibri"/>
          <w:rtl w:val="true"/>
        </w:rPr>
        <w:t xml:space="preserve">);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4144/15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אלטיף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 </w:t>
      </w:r>
      <w:r>
        <w:rPr>
          <w:rFonts w:cs="Calibri" w:ascii="Calibri" w:hAnsi="Calibri"/>
        </w:rPr>
        <w:t>16.6.15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המתבקשות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לדאבון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הביקוש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מחירם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במקלעים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ועדיין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לזלזל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ופליליים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עקרונית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אידאולוגי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יתאפס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סופרמרקט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מהסחורה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לתחום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שצויינו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משמעויותיה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31498-01-16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יקיר יוסבאשוילי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5">
    <w:name w:val=" Char Char5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4">
    <w:name w:val=" Char Char4"/>
    <w:qFormat/>
    <w:rPr>
      <w:rFonts w:ascii="Times New Roman" w:hAnsi="Times New Roman" w:eastAsia="Times New Roman" w:cs="David"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1">
    <w:name w:val=" Char Char1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" w:hAnsi="Arial TUR" w:cs="FrankRuehl"/>
      <w:spacing w:val="10"/>
      <w:sz w:val="28"/>
      <w:szCs w:val="28"/>
    </w:rPr>
  </w:style>
  <w:style w:type="character" w:styleId="CharChar">
    <w:name w:val=" Char Char"/>
    <w:qFormat/>
    <w:rPr>
      <w:rFonts w:ascii="Calibri" w:hAnsi="Calibri" w:eastAsia="Times New Roman" w:cs="FrankRuehl"/>
      <w:b/>
      <w:sz w:val="28"/>
      <w:szCs w:val="28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פיסקת רשימה"/>
    <w:basedOn w:val="Normal"/>
    <w:qFormat/>
    <w:pPr>
      <w:spacing w:lineRule="auto" w:line="276" w:before="0" w:after="200"/>
      <w:ind w:hanging="0" w:start="720" w:end="0"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8"/>
      <w:szCs w:val="28"/>
    </w:rPr>
  </w:style>
  <w:style w:type="paragraph" w:styleId="BodyTextIndent3">
    <w:name w:val="Body Text Indent 3"/>
    <w:basedOn w:val="Normal"/>
    <w:qFormat/>
    <w:pPr>
      <w:spacing w:lineRule="auto" w:line="360"/>
      <w:ind w:hanging="720" w:start="720" w:end="0"/>
    </w:pPr>
    <w:rPr>
      <w:rFonts w:ascii="Calibri" w:hAnsi="Calibri" w:cs="FrankRuehl"/>
      <w:b/>
      <w:sz w:val="28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4">
    <w:name w:val="סרגל4"/>
    <w:basedOn w:val="Normal"/>
    <w:qFormat/>
    <w:pPr>
      <w:overflowPunct w:val="false"/>
      <w:autoSpaceDE w:val="false"/>
      <w:spacing w:lineRule="auto" w:line="480"/>
      <w:jc w:val="both"/>
    </w:pPr>
    <w:rPr>
      <w:rFonts w:ascii="Arial" w:hAnsi="Arial" w:cs="DavidFix;Times New Roman"/>
      <w:sz w:val="22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6473037" TargetMode="External"/><Relationship Id="rId12" Type="http://schemas.openxmlformats.org/officeDocument/2006/relationships/hyperlink" Target="http://www.nevo.co.il/case/559842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821327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6171019" TargetMode="External"/><Relationship Id="rId18" Type="http://schemas.openxmlformats.org/officeDocument/2006/relationships/hyperlink" Target="http://www.nevo.co.il/case/5962025" TargetMode="External"/><Relationship Id="rId19" Type="http://schemas.openxmlformats.org/officeDocument/2006/relationships/hyperlink" Target="http://www.nevo.co.il/case/5146111" TargetMode="External"/><Relationship Id="rId20" Type="http://schemas.openxmlformats.org/officeDocument/2006/relationships/hyperlink" Target="http://www.nevo.co.il/case/5576212" TargetMode="External"/><Relationship Id="rId21" Type="http://schemas.openxmlformats.org/officeDocument/2006/relationships/hyperlink" Target="http://www.nevo.co.il/case/12934030" TargetMode="External"/><Relationship Id="rId22" Type="http://schemas.openxmlformats.org/officeDocument/2006/relationships/hyperlink" Target="http://www.nevo.co.il/case/10499511" TargetMode="External"/><Relationship Id="rId23" Type="http://schemas.openxmlformats.org/officeDocument/2006/relationships/hyperlink" Target="http://www.nevo.co.il/case/20371632" TargetMode="External"/><Relationship Id="rId24" Type="http://schemas.openxmlformats.org/officeDocument/2006/relationships/hyperlink" Target="http://www.nevo.co.il/case/20356752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2017-07-10T09:08:00Z</dcterms:created>
  <dc:creator> </dc:creator>
  <dc:description/>
  <cp:keywords/>
  <dc:language>en-IL</dc:language>
  <cp:lastModifiedBy>run</cp:lastModifiedBy>
  <dcterms:modified xsi:type="dcterms:W3CDTF">2017-07-10T09:08:00Z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יקיר יוסבאשוילי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6473037:2;5598421;5821327;6171019;5962025;5146111;5576212;12934030;10499511;20371632;20356752</vt:lpwstr>
  </property>
  <property fmtid="{D5CDD505-2E9C-101B-9397-08002B2CF9AE}" pid="9" name="CITY">
    <vt:lpwstr>ב"ש</vt:lpwstr>
  </property>
  <property fmtid="{D5CDD505-2E9C-101B-9397-08002B2CF9AE}" pid="10" name="DATE">
    <vt:lpwstr>20170705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70301/384;144.b;144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31498</vt:lpwstr>
  </property>
  <property fmtid="{D5CDD505-2E9C-101B-9397-08002B2CF9AE}" pid="22" name="NEWPARTB">
    <vt:lpwstr>01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390020170705</vt:lpwstr>
  </property>
  <property fmtid="{D5CDD505-2E9C-101B-9397-08002B2CF9AE}" pid="34" name="TYPE_N_DATE">
    <vt:lpwstr>39020170705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