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3158-07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גופמן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"/>
        <w:gridCol w:w="697"/>
        <w:gridCol w:w="707"/>
        <w:gridCol w:w="707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</w:tblGrid>
      <w:tr>
        <w:trPr>
          <w:trHeight w:val="337" w:hRule="atLeast"/>
        </w:trPr>
        <w:tc>
          <w:tcPr>
            <w:tcW w:w="239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6414/07</w:t>
            </w:r>
          </w:p>
        </w:tc>
        <w:tc>
          <w:tcPr>
            <w:tcW w:w="70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1798/08</w:t>
            </w:r>
          </w:p>
        </w:tc>
        <w:tc>
          <w:tcPr>
            <w:tcW w:w="70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2153/08</w:t>
            </w:r>
          </w:p>
        </w:tc>
        <w:tc>
          <w:tcPr>
            <w:tcW w:w="70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2456/08</w:t>
            </w:r>
          </w:p>
        </w:tc>
        <w:tc>
          <w:tcPr>
            <w:tcW w:w="707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3630/08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4379/08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4591/08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4933/08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4972/08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5192/08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6099/08</w:t>
            </w:r>
          </w:p>
        </w:tc>
        <w:tc>
          <w:tcPr>
            <w:tcW w:w="70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2060/09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סרגי גופמן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טטאינה אוסבטצב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אדיק איליאייב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טלי ראובני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מתמחה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בא כוח 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דניאל וייס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בא כוח 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בונדר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סרגי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גופמן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אדיק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איליאייב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2" w:name="StartProtocol"/>
      <w:bookmarkStart w:id="3" w:name="StartProtocol"/>
      <w:bookmarkEnd w:id="3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4" w:name="StartProtocol"/>
      <w:bookmarkEnd w:id="4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לנאשמים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start="26" w:end="0"/>
        <w:jc w:val="both"/>
        <w:rPr/>
      </w:pPr>
      <w:bookmarkStart w:id="11" w:name="ABSTRACT_START"/>
      <w:bookmarkEnd w:id="11"/>
      <w:r>
        <w:rPr>
          <w:rtl w:val="true"/>
        </w:rPr>
        <w:t xml:space="preserve">כנגד הנאשמים סרגיי גופמן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rtl w:val="true"/>
        </w:rPr>
        <w:t xml:space="preserve">") </w:t>
      </w:r>
      <w:r>
        <w:rPr>
          <w:rtl w:val="true"/>
        </w:rPr>
        <w:t xml:space="preserve">ואדיק איליאייב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3</w:t>
      </w:r>
      <w:r>
        <w:rPr>
          <w:rtl w:val="true"/>
        </w:rPr>
        <w:t xml:space="preserve">") </w:t>
      </w:r>
      <w:r>
        <w:rPr>
          <w:rtl w:val="true"/>
        </w:rPr>
        <w:t>הוגש 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המייחס להם עבירות אלימות ורכוש חמורות</w:t>
      </w:r>
      <w:r>
        <w:rPr>
          <w:rtl w:val="true"/>
        </w:rPr>
        <w:t xml:space="preserve">. 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 על</w:t>
      </w:r>
      <w:r>
        <w:rPr>
          <w:rtl w:val="true"/>
        </w:rPr>
        <w:t>-</w:t>
      </w:r>
      <w:r>
        <w:rPr>
          <w:rtl w:val="true"/>
        </w:rPr>
        <w:t>פי הודאתם במסגרת הסדר 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בביצוען של העבירות 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סחיטה באיומים </w:t>
      </w:r>
      <w:r>
        <w:rPr>
          <w:rtl w:val="true"/>
        </w:rPr>
        <w:t xml:space="preserve">-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  <w:t xml:space="preserve"> </w:t>
      </w:r>
      <w:r>
        <w:rPr>
          <w:rtl w:val="true"/>
        </w:rPr>
        <w:t>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>+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ועבירה של דרישת נכס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404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והורשע גם בעבירת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במסגרת הסדר</w:t>
      </w:r>
      <w:r>
        <w:rPr>
          <w:rtl w:val="true"/>
        </w:rPr>
        <w:t>-</w:t>
      </w:r>
      <w:r>
        <w:rPr>
          <w:rtl w:val="true"/>
        </w:rPr>
        <w:t>הטיעון אליו הגיעו הצדדים</w:t>
      </w:r>
      <w:r>
        <w:rPr>
          <w:rtl w:val="true"/>
        </w:rPr>
        <w:t xml:space="preserve">, </w:t>
      </w:r>
      <w:r>
        <w:rPr>
          <w:rtl w:val="true"/>
        </w:rPr>
        <w:t>המאשימה התחייבה להגביל עצמה עתירתה לענישה</w:t>
      </w:r>
      <w:r>
        <w:rPr>
          <w:rtl w:val="true"/>
        </w:rPr>
        <w:t xml:space="preserve">, </w:t>
      </w:r>
      <w:r>
        <w:rPr>
          <w:rtl w:val="true"/>
        </w:rPr>
        <w:t>כפי שיפורט במסגרת טיעוני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יצוין כי עניינה של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הסתיים ביום </w:t>
      </w:r>
      <w:r>
        <w:rPr/>
        <w:t>23.3.2008</w:t>
      </w:r>
      <w:r>
        <w:rPr>
          <w:rtl w:val="true"/>
        </w:rPr>
        <w:t xml:space="preserve">, </w:t>
      </w:r>
      <w:r>
        <w:rPr>
          <w:rtl w:val="true"/>
        </w:rPr>
        <w:t>והיא הורשעה בעבירות של סחיטה באיומים</w:t>
      </w:r>
      <w:r>
        <w:rPr>
          <w:rtl w:val="true"/>
        </w:rPr>
        <w:t xml:space="preserve">, </w:t>
      </w:r>
      <w:r>
        <w:rPr>
          <w:rtl w:val="true"/>
        </w:rPr>
        <w:t>תקיפה בנסיבות מחמירות ודרישת נכס באיומים</w:t>
      </w:r>
      <w:r>
        <w:rPr>
          <w:rtl w:val="true"/>
        </w:rPr>
        <w:t xml:space="preserve">, </w:t>
      </w:r>
      <w:r>
        <w:rPr>
          <w:rtl w:val="true"/>
        </w:rPr>
        <w:t>ובמסגרת הסדר טיעון שהושג בין הצדדים</w:t>
      </w:r>
      <w:r>
        <w:rPr>
          <w:rtl w:val="true"/>
        </w:rPr>
        <w:t xml:space="preserve">, </w:t>
      </w:r>
      <w:r>
        <w:rPr>
          <w:rtl w:val="true"/>
        </w:rPr>
        <w:t>ושאותו כיבד 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 xml:space="preserve">הוטלו עליה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בדרך של עבודות שירות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כספי בסך </w:t>
      </w:r>
      <w:r>
        <w:rPr/>
        <w:t>2000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 המפורטות בכתב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 xml:space="preserve">האישום המתוקן כולל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 האישום הראשון מתייחס לשני הנאשמים שבנידון</w:t>
      </w:r>
      <w:r>
        <w:rPr>
          <w:rtl w:val="true"/>
        </w:rPr>
        <w:t xml:space="preserve">, </w:t>
      </w:r>
      <w:r>
        <w:rPr>
          <w:rtl w:val="true"/>
        </w:rPr>
        <w:t xml:space="preserve">והאישום השני מתייחס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פי עובדות האישום הראשון</w:t>
      </w:r>
      <w:r>
        <w:rPr>
          <w:rtl w:val="true"/>
        </w:rPr>
        <w:t xml:space="preserve">, </w:t>
      </w:r>
      <w:r>
        <w:rPr>
          <w:rtl w:val="true"/>
        </w:rPr>
        <w:t>במועד הרלוונטי לכתב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 xml:space="preserve">היו הנאשמת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והמתלונן בהליכי גירושין</w:t>
      </w:r>
      <w:r>
        <w:rPr>
          <w:rtl w:val="true"/>
        </w:rPr>
        <w:t xml:space="preserve">. </w:t>
      </w:r>
      <w:r>
        <w:rPr>
          <w:rtl w:val="true"/>
        </w:rPr>
        <w:t>כמוכן</w:t>
      </w:r>
      <w:r>
        <w:rPr>
          <w:rtl w:val="true"/>
        </w:rPr>
        <w:t xml:space="preserve">, </w:t>
      </w:r>
      <w:r>
        <w:rPr>
          <w:rtl w:val="true"/>
        </w:rPr>
        <w:t>היה בניהם סכסוך כספי על רקע של חובות  בגין תשלומי המזונות</w:t>
      </w:r>
      <w:r>
        <w:rPr>
          <w:rtl w:val="true"/>
        </w:rPr>
        <w:t xml:space="preserve">. </w:t>
      </w:r>
      <w:r>
        <w:rPr>
          <w:rtl w:val="true"/>
        </w:rPr>
        <w:t xml:space="preserve">לנאשמת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הייתה היכרות קודמת עם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וכמו כן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הוא חבר של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משנודע לנאשמת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כי המתלונן מתעתד להגיע לקניון רמלה ביום </w:t>
      </w:r>
      <w:r>
        <w:rPr/>
        <w:t>13.11.07</w:t>
      </w:r>
      <w:r>
        <w:rPr>
          <w:rtl w:val="true"/>
        </w:rPr>
        <w:t xml:space="preserve"> </w:t>
      </w:r>
      <w:r>
        <w:rPr>
          <w:rtl w:val="true"/>
        </w:rPr>
        <w:t>בשעות הצהריים</w:t>
      </w:r>
      <w:r>
        <w:rPr>
          <w:rtl w:val="true"/>
        </w:rPr>
        <w:t xml:space="preserve">, </w:t>
      </w:r>
      <w:r>
        <w:rPr>
          <w:rtl w:val="true"/>
        </w:rPr>
        <w:t xml:space="preserve">הגיעו שלושת הנאשמים במועד זה לקניון </w:t>
      </w:r>
      <w:r>
        <w:rPr>
          <w:rtl w:val="true"/>
        </w:rPr>
        <w:t xml:space="preserve">, </w:t>
      </w:r>
      <w:r>
        <w:rPr>
          <w:rtl w:val="true"/>
        </w:rPr>
        <w:t>הבחינו במתלונן כשהוא נוהג ברכבו בחניון הסמוך לקניון</w:t>
      </w:r>
      <w:r>
        <w:rPr>
          <w:rtl w:val="true"/>
        </w:rPr>
        <w:t xml:space="preserve">, </w:t>
      </w:r>
      <w:r>
        <w:rPr>
          <w:rtl w:val="true"/>
        </w:rPr>
        <w:t>חסמו את נתיב נסיעתו ובכך אילצו אותו לעצור את נסיעתו</w:t>
      </w:r>
      <w:r>
        <w:rPr>
          <w:rtl w:val="true"/>
        </w:rPr>
        <w:t xml:space="preserve">, </w:t>
      </w:r>
      <w:r>
        <w:rPr>
          <w:rtl w:val="true"/>
        </w:rPr>
        <w:t>ונכנסו לתוך רכבו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 דרשו מהמתלונן את מכשיר הטלפון הנייד שלו ואת אוזניית ה</w:t>
      </w:r>
      <w:r>
        <w:rPr>
          <w:rtl w:val="true"/>
        </w:rPr>
        <w:t xml:space="preserve">- </w:t>
      </w:r>
      <w:r>
        <w:rPr/>
        <w:t>Bluetooth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ומשזה סירב</w:t>
      </w:r>
      <w:r>
        <w:rPr>
          <w:rtl w:val="true"/>
        </w:rPr>
        <w:t xml:space="preserve">, </w:t>
      </w:r>
      <w:r>
        <w:rPr>
          <w:rtl w:val="true"/>
        </w:rPr>
        <w:t>תקפו אותו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אמר למתלונן כי מאחר שקילל בעבר אותו ואת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הרי שעליו לשלם להם כסף</w:t>
      </w:r>
      <w:r>
        <w:rPr>
          <w:rtl w:val="true"/>
        </w:rPr>
        <w:t xml:space="preserve">, </w:t>
      </w:r>
      <w:r>
        <w:rPr>
          <w:rtl w:val="true"/>
        </w:rPr>
        <w:t xml:space="preserve">בנוסף לכסף שעליו לשלם לנאשמת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הכה את המתלונן בחזהו</w:t>
      </w:r>
      <w:r>
        <w:rPr>
          <w:rtl w:val="true"/>
        </w:rPr>
        <w:t xml:space="preserve">, </w:t>
      </w:r>
      <w:r>
        <w:rPr>
          <w:rtl w:val="true"/>
        </w:rPr>
        <w:t>באמצעות קופסת מטליות לחות שהייתה ברכב</w:t>
      </w:r>
      <w:r>
        <w:rPr>
          <w:rtl w:val="true"/>
        </w:rPr>
        <w:t xml:space="preserve">, </w:t>
      </w:r>
      <w:r>
        <w:rPr>
          <w:rtl w:val="true"/>
        </w:rPr>
        <w:t>וכן דרש ממתלונן שימסור לו את ארנקו שהכיל כ</w:t>
      </w:r>
      <w:r>
        <w:rPr>
          <w:rtl w:val="true"/>
        </w:rPr>
        <w:t xml:space="preserve">- </w:t>
      </w:r>
      <w:r>
        <w:rPr/>
        <w:t>1570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הנאשמים יחד עם המתלונן נסעו לביתה של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 מנת לחתום על מסמך לפיו המתלונן חב לנאשמים כספים</w:t>
      </w:r>
      <w:r>
        <w:rPr>
          <w:rtl w:val="true"/>
        </w:rPr>
        <w:t xml:space="preserve">. </w:t>
      </w:r>
      <w:r>
        <w:rPr>
          <w:rtl w:val="true"/>
        </w:rPr>
        <w:t xml:space="preserve">משהגיעו לביתה של נאשמת </w:t>
      </w:r>
      <w:r>
        <w:rPr/>
        <w:t>2</w:t>
      </w:r>
      <w:r>
        <w:rPr>
          <w:rtl w:val="true"/>
        </w:rPr>
        <w:t xml:space="preserve"> , </w:t>
      </w:r>
      <w:r>
        <w:rPr>
          <w:rtl w:val="true"/>
        </w:rPr>
        <w:t>אמר המתלונן לנאשמים כי פנקסי הצ</w:t>
      </w:r>
      <w:r>
        <w:rPr>
          <w:rtl w:val="true"/>
        </w:rPr>
        <w:t>'</w:t>
      </w:r>
      <w:r>
        <w:rPr>
          <w:rtl w:val="true"/>
        </w:rPr>
        <w:t>קים שלו נמצאים בדירת אחותו בפתח</w:t>
      </w:r>
      <w:r>
        <w:rPr>
          <w:rtl w:val="true"/>
        </w:rPr>
        <w:t>-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ובאמצעות צ</w:t>
      </w:r>
      <w:r>
        <w:rPr>
          <w:rtl w:val="true"/>
        </w:rPr>
        <w:t>'</w:t>
      </w:r>
      <w:r>
        <w:rPr>
          <w:rtl w:val="true"/>
        </w:rPr>
        <w:t>קים אלו יוכל לשלם להם את הכספים שהם דורשים</w:t>
      </w:r>
      <w:r>
        <w:rPr>
          <w:rtl w:val="true"/>
        </w:rPr>
        <w:t xml:space="preserve">. </w:t>
      </w:r>
      <w:r>
        <w:rPr>
          <w:rtl w:val="true"/>
        </w:rPr>
        <w:t xml:space="preserve">המתלונן ונאשמים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 לרכב בכוונה לנסוע לדירה האמורה על מנת לאתר את פנקסי הצ</w:t>
      </w:r>
      <w:r>
        <w:rPr>
          <w:rtl w:val="true"/>
        </w:rPr>
        <w:t>'</w:t>
      </w:r>
      <w:r>
        <w:rPr>
          <w:rtl w:val="true"/>
        </w:rPr>
        <w:t>קים של המתלונן</w:t>
      </w:r>
      <w:r>
        <w:rPr>
          <w:rtl w:val="true"/>
        </w:rPr>
        <w:t xml:space="preserve">. </w:t>
      </w:r>
      <w:r>
        <w:rPr>
          <w:rtl w:val="true"/>
        </w:rPr>
        <w:t>בטרם הגיעם לרכב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עזב לזמן קצר את המתלונן ואת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וכששב אליהם אמר למתלונן כי הוא נושא עליו 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עם תחילת נסיעתם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איים על המתלונן בכך שאמר לו כי </w:t>
      </w:r>
      <w:r>
        <w:rPr>
          <w:rtl w:val="true"/>
        </w:rPr>
        <w:t>"</w:t>
      </w:r>
      <w:r>
        <w:rPr>
          <w:rtl w:val="true"/>
        </w:rPr>
        <w:t>אם ישתבש משהו</w:t>
      </w:r>
      <w:r>
        <w:rPr>
          <w:rtl w:val="true"/>
        </w:rPr>
        <w:t xml:space="preserve">" </w:t>
      </w:r>
      <w:r>
        <w:rPr>
          <w:rtl w:val="true"/>
        </w:rPr>
        <w:t>יפגע בו ובמשפחתו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בעוד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המתין ברכב</w:t>
      </w:r>
      <w:r>
        <w:rPr>
          <w:rtl w:val="true"/>
        </w:rPr>
        <w:t xml:space="preserve">, </w:t>
      </w:r>
      <w:r>
        <w:rPr>
          <w:rtl w:val="true"/>
        </w:rPr>
        <w:t xml:space="preserve">המתלונן ונאשם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הגיעו לדירה</w:t>
      </w:r>
      <w:r>
        <w:rPr>
          <w:rtl w:val="true"/>
        </w:rPr>
        <w:t xml:space="preserve">, </w:t>
      </w:r>
      <w:r>
        <w:rPr>
          <w:rtl w:val="true"/>
        </w:rPr>
        <w:t xml:space="preserve">ובהנחיית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המתלונן החל לחפש אחר פנקסי 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אולם לא מצאם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נסעו שלושתם דרומה במטרה להמשיך ולחפש אחר כספו של המתלונן</w:t>
      </w:r>
      <w:r>
        <w:rPr>
          <w:rtl w:val="true"/>
        </w:rPr>
        <w:t xml:space="preserve">, </w:t>
      </w:r>
      <w:r>
        <w:rPr>
          <w:rtl w:val="true"/>
        </w:rPr>
        <w:t>אולם משהגיעו בנסיעתם לאזור ראשון</w:t>
      </w:r>
      <w:r>
        <w:rPr>
          <w:rtl w:val="true"/>
        </w:rPr>
        <w:t>-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 xml:space="preserve">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הודיעה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בשיחה טלפונית כי משפחתו של המתלונן מחפשת אחריו</w:t>
      </w:r>
      <w:r>
        <w:rPr>
          <w:rtl w:val="true"/>
        </w:rPr>
        <w:t xml:space="preserve">, </w:t>
      </w:r>
      <w:r>
        <w:rPr>
          <w:rtl w:val="true"/>
        </w:rPr>
        <w:t>וביקשה כי יחזרו לביתה ברמלה</w:t>
      </w:r>
      <w:r>
        <w:rPr>
          <w:rtl w:val="true"/>
        </w:rPr>
        <w:t xml:space="preserve">. </w:t>
      </w:r>
      <w:r>
        <w:rPr>
          <w:rtl w:val="true"/>
        </w:rPr>
        <w:t>כך אכן עשו</w:t>
      </w:r>
      <w:r>
        <w:rPr>
          <w:rtl w:val="true"/>
        </w:rPr>
        <w:t xml:space="preserve">, </w:t>
      </w:r>
      <w:r>
        <w:rPr>
          <w:rtl w:val="true"/>
        </w:rPr>
        <w:t>ועת הגיעו לבית</w:t>
      </w:r>
      <w:r>
        <w:rPr>
          <w:rtl w:val="true"/>
        </w:rPr>
        <w:t xml:space="preserve">, </w:t>
      </w:r>
      <w:r>
        <w:rPr>
          <w:rtl w:val="true"/>
        </w:rPr>
        <w:t>המשטרה עצרה את הנאשמים 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פי עובדות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המיוחס כאמור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15.11.07</w:t>
      </w:r>
      <w:r>
        <w:rPr>
          <w:rtl w:val="true"/>
        </w:rPr>
        <w:t xml:space="preserve"> </w:t>
      </w:r>
      <w:r>
        <w:rPr>
          <w:rtl w:val="true"/>
        </w:rPr>
        <w:t>בקרוואן בו התגורר  בעיר רמלה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שלא כדין באקדח מסוג ברטה </w:t>
      </w:r>
      <w:r>
        <w:rPr/>
        <w:t>0.22</w:t>
      </w:r>
      <w:r>
        <w:rPr>
          <w:rtl w:val="true"/>
        </w:rPr>
        <w:t xml:space="preserve">, </w:t>
      </w:r>
      <w:r>
        <w:rPr>
          <w:rtl w:val="true"/>
        </w:rPr>
        <w:t xml:space="preserve">שמספרו </w:t>
      </w:r>
      <w:r>
        <w:rPr/>
        <w:t>3841</w:t>
      </w:r>
      <w:r>
        <w:rPr>
          <w:rtl w:val="true"/>
        </w:rPr>
        <w:t xml:space="preserve">, </w:t>
      </w:r>
      <w:r>
        <w:rPr>
          <w:rtl w:val="true"/>
        </w:rPr>
        <w:t xml:space="preserve">וכן מחסנית ובה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הופנה על</w:t>
      </w:r>
      <w:r>
        <w:rPr>
          <w:rtl w:val="true"/>
        </w:rPr>
        <w:t>-</w:t>
      </w:r>
      <w:r>
        <w:rPr>
          <w:rtl w:val="true"/>
        </w:rPr>
        <w:t>ידי בית</w:t>
      </w:r>
      <w:r>
        <w:rPr>
          <w:rtl w:val="true"/>
        </w:rPr>
        <w:t>-</w:t>
      </w:r>
      <w:r>
        <w:rPr>
          <w:rtl w:val="true"/>
        </w:rPr>
        <w:t>המשפט לשירות המבחן</w:t>
      </w:r>
      <w:r>
        <w:rPr>
          <w:rtl w:val="true"/>
        </w:rPr>
        <w:t xml:space="preserve">, </w:t>
      </w:r>
      <w:r>
        <w:rPr>
          <w:rtl w:val="true"/>
        </w:rPr>
        <w:t>ובעניינו הוגשו לתיק בית</w:t>
      </w:r>
      <w:r>
        <w:rPr>
          <w:rtl w:val="true"/>
        </w:rPr>
        <w:t>-</w:t>
      </w:r>
      <w:r>
        <w:rPr>
          <w:rtl w:val="true"/>
        </w:rPr>
        <w:t xml:space="preserve">המשפט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. </w:t>
      </w:r>
      <w:r>
        <w:rPr>
          <w:rtl w:val="true"/>
        </w:rPr>
        <w:t>לאור השוני המהותי בין שני התסקירים</w:t>
      </w:r>
      <w:r>
        <w:rPr>
          <w:rtl w:val="true"/>
        </w:rPr>
        <w:t xml:space="preserve">, </w:t>
      </w:r>
      <w:r>
        <w:rPr>
          <w:rtl w:val="true"/>
        </w:rPr>
        <w:t>אפרט את התרשמות שירות המבחן בכל אחד 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בתסקיר מיום </w:t>
      </w:r>
      <w:r>
        <w:rPr/>
        <w:t>18.11.2010</w:t>
      </w:r>
      <w:r>
        <w:rPr>
          <w:rtl w:val="true"/>
        </w:rPr>
        <w:t xml:space="preserve"> </w:t>
      </w:r>
      <w:r>
        <w:rPr>
          <w:rtl w:val="true"/>
        </w:rPr>
        <w:t>צוין כי מדובר בנאשם גרוש ואב לשני ילדים בגירים</w:t>
      </w:r>
      <w:r>
        <w:rPr>
          <w:rtl w:val="true"/>
        </w:rPr>
        <w:t xml:space="preserve">, </w:t>
      </w:r>
      <w:r>
        <w:rPr>
          <w:rtl w:val="true"/>
        </w:rPr>
        <w:t xml:space="preserve">אשר עלה ארצה עם משפחתו בשנת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מרוסיה</w:t>
      </w:r>
      <w:r>
        <w:rPr>
          <w:rtl w:val="true"/>
        </w:rPr>
        <w:t xml:space="preserve">. </w:t>
      </w:r>
      <w:r>
        <w:rPr>
          <w:rtl w:val="true"/>
        </w:rPr>
        <w:t>כיום מתגורר עם בת זוגו ובנותיה</w:t>
      </w:r>
      <w:r>
        <w:rPr>
          <w:rtl w:val="true"/>
        </w:rPr>
        <w:t xml:space="preserve">. </w:t>
      </w:r>
      <w:r>
        <w:rPr>
          <w:rtl w:val="true"/>
        </w:rPr>
        <w:t>מדובר בנאשם שעובד למחייתו כנהג משאית</w:t>
      </w:r>
      <w:r>
        <w:rPr>
          <w:rtl w:val="true"/>
        </w:rPr>
        <w:t xml:space="preserve">, </w:t>
      </w:r>
      <w:r>
        <w:rPr>
          <w:rtl w:val="true"/>
        </w:rPr>
        <w:t>ומעסיקו תיאר אותו כעובד חיוני למפעל</w:t>
      </w:r>
      <w:r>
        <w:rPr>
          <w:rtl w:val="true"/>
        </w:rPr>
        <w:t xml:space="preserve">, </w:t>
      </w:r>
      <w:r>
        <w:rPr>
          <w:rtl w:val="true"/>
        </w:rPr>
        <w:t>חרוץ ומסביר פנים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מבחינת הרקע האישי והמשפחתי</w:t>
      </w:r>
      <w:r>
        <w:rPr>
          <w:rtl w:val="true"/>
        </w:rPr>
        <w:t xml:space="preserve">, </w:t>
      </w:r>
      <w:r>
        <w:rPr>
          <w:rtl w:val="true"/>
        </w:rPr>
        <w:t>לא עלו בתסקיר נסיבות חיים יוצאות דופן</w:t>
      </w:r>
      <w:r>
        <w:rPr>
          <w:rtl w:val="true"/>
        </w:rPr>
        <w:t xml:space="preserve">, </w:t>
      </w:r>
      <w:r>
        <w:rPr>
          <w:rtl w:val="true"/>
        </w:rPr>
        <w:t>מעבר לאותו הליך גירושין מאשתו</w:t>
      </w:r>
      <w:r>
        <w:rPr>
          <w:rtl w:val="true"/>
        </w:rPr>
        <w:t xml:space="preserve">, </w:t>
      </w:r>
      <w:r>
        <w:rPr>
          <w:rtl w:val="true"/>
        </w:rPr>
        <w:t>הליך אשר יצר תקופה משברית 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מבחינת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 אחריות חלקית בלבד</w:t>
      </w:r>
      <w:r>
        <w:rPr>
          <w:rtl w:val="true"/>
        </w:rPr>
        <w:t xml:space="preserve">, </w:t>
      </w:r>
      <w:r>
        <w:rPr>
          <w:rtl w:val="true"/>
        </w:rPr>
        <w:t>כאשר הודה בפני קצינת המבחן כי גילה אלימות פיזית כלפי המתלונן</w:t>
      </w:r>
      <w:r>
        <w:rPr>
          <w:rtl w:val="true"/>
        </w:rPr>
        <w:t xml:space="preserve">, </w:t>
      </w:r>
      <w:r>
        <w:rPr>
          <w:rtl w:val="true"/>
        </w:rPr>
        <w:t>אך הכחיש מעורבותו ביתר האירועים המפורטים 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קצינת המבחן התרשמה כי קיים פער בין האופן בו הנאשם מציג עצמו כאדם נורמטיבי</w:t>
      </w:r>
      <w:r>
        <w:rPr>
          <w:rtl w:val="true"/>
        </w:rPr>
        <w:t xml:space="preserve">, </w:t>
      </w:r>
      <w:r>
        <w:rPr>
          <w:rtl w:val="true"/>
        </w:rPr>
        <w:t>השולט בדחפיו ובכעסיו</w:t>
      </w:r>
      <w:r>
        <w:rPr>
          <w:rtl w:val="true"/>
        </w:rPr>
        <w:t xml:space="preserve">, </w:t>
      </w:r>
      <w:r>
        <w:rPr>
          <w:rtl w:val="true"/>
        </w:rPr>
        <w:t>לבין מעורבותו בפועל באירועים נשוא כתב האישום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ניסה לטשטש את הרקע לביצוע העבירות</w:t>
      </w:r>
      <w:r>
        <w:rPr>
          <w:rtl w:val="true"/>
        </w:rPr>
        <w:t xml:space="preserve">, </w:t>
      </w:r>
      <w:r>
        <w:rPr>
          <w:rtl w:val="true"/>
        </w:rPr>
        <w:t>וצמצם את מעורבותו באירועים נשוא כתב האישום וכן את חומרת מעשיו</w:t>
      </w:r>
      <w:r>
        <w:rPr>
          <w:rtl w:val="true"/>
        </w:rPr>
        <w:t xml:space="preserve">. </w:t>
      </w:r>
      <w:r>
        <w:rPr>
          <w:rtl w:val="true"/>
        </w:rPr>
        <w:t>הנאשם אף הביע באותו שלב את כעסו ועייפותו נוכח הימשכות ההליכים בעניינו</w:t>
      </w:r>
      <w:r>
        <w:rPr>
          <w:rtl w:val="true"/>
        </w:rPr>
        <w:t xml:space="preserve">. </w:t>
      </w:r>
      <w:r>
        <w:rPr>
          <w:rtl w:val="true"/>
        </w:rPr>
        <w:t>נוכח הקושי בלקיחת אחריות מלאה</w:t>
      </w:r>
      <w:r>
        <w:rPr>
          <w:rtl w:val="true"/>
        </w:rPr>
        <w:t xml:space="preserve">, </w:t>
      </w:r>
      <w:r>
        <w:rPr>
          <w:rtl w:val="true"/>
        </w:rPr>
        <w:t>והעובדה כי הנאשם שלל את האפשרות כי הוא זקוק לטיפול כלשהו</w:t>
      </w:r>
      <w:r>
        <w:rPr>
          <w:rtl w:val="true"/>
        </w:rPr>
        <w:t xml:space="preserve">, </w:t>
      </w:r>
      <w:r>
        <w:rPr>
          <w:rtl w:val="true"/>
        </w:rPr>
        <w:t>שירות המבחן נמנע מלבוא בהמלצות טיפוליות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בתסקיר מיום </w:t>
      </w:r>
      <w:r>
        <w:rPr/>
        <w:t>27.2.11</w:t>
      </w:r>
      <w:r>
        <w:rPr>
          <w:rtl w:val="true"/>
        </w:rPr>
        <w:t xml:space="preserve">, </w:t>
      </w:r>
      <w:r>
        <w:rPr>
          <w:rtl w:val="true"/>
        </w:rPr>
        <w:t>צוין כי הנאשם הודה במעשים</w:t>
      </w:r>
      <w:r>
        <w:rPr>
          <w:rtl w:val="true"/>
        </w:rPr>
        <w:t xml:space="preserve">, </w:t>
      </w:r>
      <w:r>
        <w:rPr>
          <w:rtl w:val="true"/>
        </w:rPr>
        <w:t>לקח אחריות מלאה</w:t>
      </w:r>
      <w:r>
        <w:rPr>
          <w:rtl w:val="true"/>
        </w:rPr>
        <w:t xml:space="preserve">, </w:t>
      </w:r>
      <w:r>
        <w:rPr>
          <w:rtl w:val="true"/>
        </w:rPr>
        <w:t>והביע חרטה על התנהגותו והביע אמפתיה למתלונן תוך שהוא מודע לנזק שגרם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 צוין כי הרקע למעשי האלימות שהנאשם ביצע במתלונן הוא אותה תקופה משברית שחווה לאחר גירושיו</w:t>
      </w:r>
      <w:r>
        <w:rPr>
          <w:rtl w:val="true"/>
        </w:rPr>
        <w:t xml:space="preserve">, </w:t>
      </w:r>
      <w:r>
        <w:rPr>
          <w:rtl w:val="true"/>
        </w:rPr>
        <w:t xml:space="preserve">כאשר באותה תקופה נוצר קשר אינטימי בין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ובינו</w:t>
      </w:r>
      <w:r>
        <w:rPr>
          <w:rtl w:val="true"/>
        </w:rPr>
        <w:t xml:space="preserve">. </w:t>
      </w:r>
      <w:r>
        <w:rPr>
          <w:rtl w:val="true"/>
        </w:rPr>
        <w:t xml:space="preserve">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נתפסה בעיניו כחלשה וכמי שזקוקה לעזרה</w:t>
      </w:r>
      <w:r>
        <w:rPr>
          <w:rtl w:val="true"/>
        </w:rPr>
        <w:t xml:space="preserve">, </w:t>
      </w:r>
      <w:r>
        <w:rPr>
          <w:rtl w:val="true"/>
        </w:rPr>
        <w:t>ולכן הוא החליט לקחת על עצמו לעזור לה לפתור את הסכסוך הכספי שלה עם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בקשר לעבירת הנשק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 ולקח אחריות בפני שירות המבחן</w:t>
      </w:r>
      <w:r>
        <w:rPr>
          <w:rtl w:val="true"/>
        </w:rPr>
        <w:t xml:space="preserve">, </w:t>
      </w:r>
      <w:r>
        <w:rPr>
          <w:rtl w:val="true"/>
        </w:rPr>
        <w:t>ולדבריו הנשק היה שייך למכר שביקש לשמור אצלו את חפציו האישיים בעת שהייתו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הבין את הפליליות שבמעשה וכי אסור היה לו להשאיר אצלו אקדח ללא היתר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נאמר בתסקיר השני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ניתק את קשריו עם המעורבים בעבירות נשוא 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וכיום הוא מנהל קשר זוגי משמעותי</w:t>
      </w:r>
      <w:r>
        <w:rPr>
          <w:rtl w:val="true"/>
        </w:rPr>
        <w:t xml:space="preserve">. </w:t>
      </w:r>
      <w:r>
        <w:rPr>
          <w:rtl w:val="true"/>
        </w:rPr>
        <w:t>קצינת המבחן נפגשה גם עם בת זוגו</w:t>
      </w:r>
      <w:r>
        <w:rPr>
          <w:rtl w:val="true"/>
        </w:rPr>
        <w:t xml:space="preserve">, </w:t>
      </w:r>
      <w:r>
        <w:rPr>
          <w:rtl w:val="true"/>
        </w:rPr>
        <w:t xml:space="preserve">והתרשמה כי היא מודעת לחומרת 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ומודעת למצבו המשפטי</w:t>
      </w:r>
      <w:r>
        <w:rPr>
          <w:rtl w:val="true"/>
        </w:rPr>
        <w:t xml:space="preserve">, </w:t>
      </w:r>
      <w:r>
        <w:rPr>
          <w:rtl w:val="true"/>
        </w:rPr>
        <w:t>וקצינת המבחן התרשמה כי המדובר במערכת יחסים יציבה המאופיינת בחום ובדאגה הדדית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צבר חובות כספיים במהלך השנים האחרונות לאור הימשכות ההליך הפלילי שאילץ אותו לא לעבוד במשך תקופה ממושכת</w:t>
      </w:r>
      <w:r>
        <w:rPr>
          <w:rtl w:val="true"/>
        </w:rPr>
        <w:t xml:space="preserve">, </w:t>
      </w:r>
      <w:r>
        <w:rPr>
          <w:rtl w:val="true"/>
        </w:rPr>
        <w:t>אולם טוען כי בשנה האחרונה הצליח לשלם את רוב חובותיו ולהגיע לאיזון כלכלי יחסי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 בפני קצינת המבחן את חששו מפני האפשרות כי יוטל עליו עונש של מאסר בפועל או עבודות שירות</w:t>
      </w:r>
      <w:r>
        <w:rPr>
          <w:rtl w:val="true"/>
        </w:rPr>
        <w:t xml:space="preserve">, </w:t>
      </w:r>
      <w:r>
        <w:rPr>
          <w:rtl w:val="true"/>
        </w:rPr>
        <w:t>אשר עלול להוביל להפסקת עבודתו ולהידרדרות במצבו הכלכלי ולפגיעה בבני 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המדובר בנאשם שתפקודו והתנהלותו תקינים 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ויש לראות את העבירות שביצע על רקע של אותה תקופה משברית שחווה בחייו</w:t>
      </w:r>
      <w:r>
        <w:rPr>
          <w:rtl w:val="true"/>
        </w:rPr>
        <w:t xml:space="preserve">. </w:t>
      </w:r>
      <w:r>
        <w:rPr>
          <w:rtl w:val="true"/>
        </w:rPr>
        <w:t>כיום למד את הלקח ויודע להתמודד עם הקשיים שמציבים לו החיים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שירות המבחן המליץ לשלבו בקבוצה טיפולית במסגרת שירות המבחן</w:t>
      </w:r>
      <w:r>
        <w:rPr>
          <w:rtl w:val="true"/>
        </w:rPr>
        <w:t xml:space="preserve">, </w:t>
      </w:r>
      <w:r>
        <w:rPr>
          <w:rtl w:val="true"/>
        </w:rPr>
        <w:t>המיועדת לגברים שביצעו עבירות אלימות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הומלץ על הטלת שעות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המאשימה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עמדה בטיעוניה על חומרתן וכיעורן של העבירות המיוחסות לשני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הדגישה כי לגבי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עבירת הנשק</w:t>
      </w:r>
      <w:r>
        <w:rPr>
          <w:rtl w:val="true"/>
        </w:rPr>
        <w:t xml:space="preserve">, </w:t>
      </w:r>
      <w:r>
        <w:rPr>
          <w:rtl w:val="true"/>
        </w:rPr>
        <w:t>בה הודה</w:t>
      </w:r>
      <w:r>
        <w:rPr>
          <w:rtl w:val="true"/>
        </w:rPr>
        <w:t xml:space="preserve">, </w:t>
      </w:r>
      <w:r>
        <w:rPr>
          <w:rtl w:val="true"/>
        </w:rPr>
        <w:t>זוכה לרף ענישה גבוה בפסיקת 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הכולל מאסרים בפועל</w:t>
      </w:r>
      <w:r>
        <w:rPr>
          <w:rtl w:val="true"/>
        </w:rPr>
        <w:t xml:space="preserve">, </w:t>
      </w:r>
      <w:r>
        <w:rPr>
          <w:rtl w:val="true"/>
        </w:rPr>
        <w:t>וזאת לאור חומרתה הרבה</w:t>
      </w:r>
      <w:r>
        <w:rPr>
          <w:rtl w:val="true"/>
        </w:rPr>
        <w:t xml:space="preserve">, </w:t>
      </w:r>
      <w:r>
        <w:rPr>
          <w:rtl w:val="true"/>
        </w:rPr>
        <w:t>וזאת עוד בטרם התייחסות לעבירות הנוספות בהן הודה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הדגישה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עשה שימוש מאיים בנשק כאשר הוא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איימו על המתלונן באמצעותו</w:t>
      </w:r>
      <w:r>
        <w:rPr>
          <w:rtl w:val="true"/>
        </w:rPr>
        <w:t xml:space="preserve">, </w:t>
      </w:r>
      <w:r>
        <w:rPr>
          <w:rtl w:val="true"/>
        </w:rPr>
        <w:t>ואף הגיעו כדי מגע פיזי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בא כח המאשימה עתרה לגבי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להשתת עונש של מאסר בפועל למשך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  בניכוי ימי המעצר</w:t>
      </w:r>
      <w:r>
        <w:rPr>
          <w:rtl w:val="true"/>
        </w:rPr>
        <w:t xml:space="preserve">, </w:t>
      </w:r>
      <w:r>
        <w:rPr>
          <w:rtl w:val="true"/>
        </w:rPr>
        <w:t>מאסר על</w:t>
      </w:r>
      <w:r>
        <w:rPr>
          <w:rtl w:val="true"/>
        </w:rPr>
        <w:t>-</w:t>
      </w:r>
      <w:r>
        <w:rPr>
          <w:rtl w:val="true"/>
        </w:rPr>
        <w:t xml:space="preserve">תנאי ופיצוי למתלונן על סך של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לגבי אורך המאסר בפועל סוכם שהסניגור יכול לטעון כאוות נפשו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לגבי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ציינה כי למרות שיש לאבחן את חלקו באירוע לעומת חלקו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עדיין מדובר בנאשם אשר ביצע עבירות חמורות ועל כן עותרת</w:t>
      </w:r>
      <w:r>
        <w:rPr>
          <w:rtl w:val="true"/>
        </w:rPr>
        <w:t xml:space="preserve">, </w:t>
      </w:r>
      <w:r>
        <w:rPr>
          <w:rtl w:val="true"/>
        </w:rPr>
        <w:t>במסגרת תנאי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להטלת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שיכול וירוצו בדרך של עבודות שירות ללא ניכוי ימי מעצרו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על סך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למתלונן</w:t>
      </w:r>
      <w:r>
        <w:rPr>
          <w:rtl w:val="true"/>
        </w:rPr>
        <w:t xml:space="preserve">.  </w:t>
      </w:r>
      <w:r>
        <w:rPr>
          <w:rtl w:val="true"/>
        </w:rPr>
        <w:t>לגבי תקופת המאסר שתרוצה בדרך של עבודות שירות סוכם שהסניגור יוכל לטעון לתקופה קצרה יותר 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הסנגורים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 xml:space="preserve">עמד בטיעוניו על נסיבותיו האישיות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והדגיש כי המדובר בעולה וותיק מברית</w:t>
      </w:r>
      <w:r>
        <w:rPr>
          <w:rtl w:val="true"/>
        </w:rPr>
        <w:t>-</w:t>
      </w:r>
      <w:r>
        <w:rPr>
          <w:rtl w:val="true"/>
        </w:rPr>
        <w:t>המועצות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שזוהי לו הסתבכותו הראשונה בפלילים</w:t>
      </w:r>
      <w:r>
        <w:rPr>
          <w:rtl w:val="true"/>
        </w:rPr>
        <w:t xml:space="preserve">. </w:t>
      </w:r>
      <w:r>
        <w:rPr>
          <w:rtl w:val="true"/>
        </w:rPr>
        <w:t>עוד הדגיש כי הנאשם שהה תקופה ממושכת של מספר חודשים בתנאי מעצר בית מלא עם איזוק אלקטרוני</w:t>
      </w:r>
      <w:r>
        <w:rPr>
          <w:rtl w:val="true"/>
        </w:rPr>
        <w:t xml:space="preserve">, </w:t>
      </w:r>
      <w:r>
        <w:rPr>
          <w:rtl w:val="true"/>
        </w:rPr>
        <w:t>ורק לאחר תקופה לא קצרה בית</w:t>
      </w:r>
      <w:r>
        <w:rPr>
          <w:rtl w:val="true"/>
        </w:rPr>
        <w:t>-</w:t>
      </w:r>
      <w:r>
        <w:rPr>
          <w:rtl w:val="true"/>
        </w:rPr>
        <w:t>המשפט הקל בתנאי השחרור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כי ביום </w:t>
      </w:r>
      <w:r>
        <w:rPr/>
        <w:t>17.3.2010</w:t>
      </w:r>
      <w:r>
        <w:rPr>
          <w:rtl w:val="true"/>
        </w:rPr>
        <w:t xml:space="preserve"> </w:t>
      </w:r>
      <w:r>
        <w:rPr>
          <w:rtl w:val="true"/>
        </w:rPr>
        <w:t>ביטל בית</w:t>
      </w:r>
      <w:r>
        <w:rPr>
          <w:rtl w:val="true"/>
        </w:rPr>
        <w:t>-</w:t>
      </w:r>
      <w:r>
        <w:rPr>
          <w:rtl w:val="true"/>
        </w:rPr>
        <w:t>המשפט כליל את התנאים המגבילים</w:t>
      </w:r>
      <w:r>
        <w:rPr>
          <w:rtl w:val="true"/>
        </w:rPr>
        <w:t xml:space="preserve">, </w:t>
      </w:r>
      <w:r>
        <w:rPr>
          <w:rtl w:val="true"/>
        </w:rPr>
        <w:t>ומאז ועד היום כיבד הנאשם את האמון שניתן בו ולא הסתבך במעורבות פלילית אחרת</w:t>
      </w:r>
      <w:r>
        <w:rPr>
          <w:rtl w:val="true"/>
        </w:rPr>
        <w:t xml:space="preserve">, </w:t>
      </w:r>
      <w:r>
        <w:rPr>
          <w:rtl w:val="true"/>
        </w:rPr>
        <w:t>הוא עובד בעבודה מסודרת ואף הצליח לסגור את מרבית חובותיו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 כי כתב</w:t>
      </w:r>
      <w:r>
        <w:rPr>
          <w:rtl w:val="true"/>
        </w:rPr>
        <w:t>-</w:t>
      </w:r>
      <w:r>
        <w:rPr>
          <w:rtl w:val="true"/>
        </w:rPr>
        <w:t>האישום המתוקן לא כולל שימוש בנשק לצורך איום</w:t>
      </w:r>
      <w:r>
        <w:rPr>
          <w:rtl w:val="true"/>
        </w:rPr>
        <w:t xml:space="preserve">, </w:t>
      </w:r>
      <w:r>
        <w:rPr>
          <w:rtl w:val="true"/>
        </w:rPr>
        <w:t>בניגוד לטיעוניה של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ולמעשה עובדות כתב</w:t>
      </w:r>
      <w:r>
        <w:rPr>
          <w:rtl w:val="true"/>
        </w:rPr>
        <w:t>-</w:t>
      </w:r>
      <w:r>
        <w:rPr>
          <w:rtl w:val="true"/>
        </w:rPr>
        <w:t>האישום המתוקן מלמדות על כך שהמתלונן אף לא ראה את הנשק</w:t>
      </w:r>
      <w:r>
        <w:rPr>
          <w:rtl w:val="true"/>
        </w:rPr>
        <w:t xml:space="preserve">.  </w:t>
      </w:r>
      <w:r>
        <w:rPr>
          <w:rtl w:val="true"/>
        </w:rPr>
        <w:t>עוד ציין כי הרקע לאירוע נשוא כתב</w:t>
      </w:r>
      <w:r>
        <w:rPr>
          <w:rtl w:val="true"/>
        </w:rPr>
        <w:t>-</w:t>
      </w:r>
      <w:r>
        <w:rPr>
          <w:rtl w:val="true"/>
        </w:rPr>
        <w:t xml:space="preserve">האישום הינו העובדה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הינו בן זוגה החדש של נאשמת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התייחס לתמיהה שהעלתה ב</w:t>
      </w:r>
      <w:r>
        <w:rPr>
          <w:rtl w:val="true"/>
        </w:rPr>
        <w:t>"</w:t>
      </w:r>
      <w:r>
        <w:rPr>
          <w:rtl w:val="true"/>
        </w:rPr>
        <w:t>כ המאשימה באשר לפער שבין שני התסקירים בעניינו</w:t>
      </w:r>
      <w:r>
        <w:rPr>
          <w:rtl w:val="true"/>
        </w:rPr>
        <w:t xml:space="preserve">, </w:t>
      </w:r>
      <w:r>
        <w:rPr>
          <w:rtl w:val="true"/>
        </w:rPr>
        <w:t>והסביר כי בשלב בו הוכן התסקיר הראשון</w:t>
      </w:r>
      <w:r>
        <w:rPr>
          <w:rtl w:val="true"/>
        </w:rPr>
        <w:t xml:space="preserve">, </w:t>
      </w:r>
      <w:r>
        <w:rPr>
          <w:rtl w:val="true"/>
        </w:rPr>
        <w:t>לא היה בפני שירות המבחן עותק של כתב</w:t>
      </w:r>
      <w:r>
        <w:rPr>
          <w:rtl w:val="true"/>
        </w:rPr>
        <w:t>-</w:t>
      </w:r>
      <w:r>
        <w:rPr>
          <w:rtl w:val="true"/>
        </w:rPr>
        <w:t>האישום המתוקן אלא רק כתב</w:t>
      </w:r>
      <w:r>
        <w:rPr>
          <w:rtl w:val="true"/>
        </w:rPr>
        <w:t>-</w:t>
      </w:r>
      <w:r>
        <w:rPr>
          <w:rtl w:val="true"/>
        </w:rPr>
        <w:t>האישום המקורי</w:t>
      </w:r>
      <w:r>
        <w:rPr>
          <w:rtl w:val="true"/>
        </w:rPr>
        <w:t xml:space="preserve">, </w:t>
      </w:r>
      <w:r>
        <w:rPr>
          <w:rtl w:val="true"/>
        </w:rPr>
        <w:t>ועל כן התעוררו הקשיים שעיקרם נבע מעניין לקיחת האחריות</w:t>
      </w:r>
      <w:r>
        <w:rPr>
          <w:rtl w:val="true"/>
        </w:rPr>
        <w:t xml:space="preserve">. </w:t>
      </w:r>
      <w:r>
        <w:rPr>
          <w:rtl w:val="true"/>
        </w:rPr>
        <w:t>אולם בהמשך</w:t>
      </w:r>
      <w:r>
        <w:rPr>
          <w:rtl w:val="true"/>
        </w:rPr>
        <w:t xml:space="preserve">, </w:t>
      </w:r>
      <w:r>
        <w:rPr>
          <w:rtl w:val="true"/>
        </w:rPr>
        <w:t>בשלב עריכת התסקיר השני</w:t>
      </w:r>
      <w:r>
        <w:rPr>
          <w:rtl w:val="true"/>
        </w:rPr>
        <w:t xml:space="preserve">, </w:t>
      </w:r>
      <w:r>
        <w:rPr>
          <w:rtl w:val="true"/>
        </w:rPr>
        <w:t>כאשר בפני שירות המבחן הונח עותק כתב</w:t>
      </w:r>
      <w:r>
        <w:rPr>
          <w:rtl w:val="true"/>
        </w:rPr>
        <w:t>-</w:t>
      </w:r>
      <w:r>
        <w:rPr>
          <w:rtl w:val="true"/>
        </w:rPr>
        <w:t>האישום המתוקן</w:t>
      </w:r>
      <w:r>
        <w:rPr>
          <w:rtl w:val="true"/>
        </w:rPr>
        <w:t xml:space="preserve">, </w:t>
      </w:r>
      <w:r>
        <w:rPr>
          <w:rtl w:val="true"/>
        </w:rPr>
        <w:t>הקשיים נעלמו</w:t>
      </w:r>
      <w:r>
        <w:rPr>
          <w:rtl w:val="true"/>
        </w:rPr>
        <w:t xml:space="preserve">, </w:t>
      </w:r>
      <w:r>
        <w:rPr>
          <w:rtl w:val="true"/>
        </w:rPr>
        <w:t>והנאשם לקח אחריות מלאה הודה בנזק שגרם למתלונן</w:t>
      </w:r>
      <w:r>
        <w:rPr>
          <w:rtl w:val="true"/>
        </w:rPr>
        <w:t xml:space="preserve">, </w:t>
      </w:r>
      <w:r>
        <w:rPr>
          <w:rtl w:val="true"/>
        </w:rPr>
        <w:t>הביע כלפי המתלונן אמפתיה</w:t>
      </w:r>
      <w:r>
        <w:rPr>
          <w:rtl w:val="true"/>
        </w:rPr>
        <w:t xml:space="preserve">, </w:t>
      </w:r>
      <w:r>
        <w:rPr>
          <w:rtl w:val="true"/>
        </w:rPr>
        <w:t>והביע חרטה על מעשיו</w:t>
      </w:r>
      <w:r>
        <w:rPr>
          <w:rtl w:val="true"/>
        </w:rPr>
        <w:t xml:space="preserve">, </w:t>
      </w:r>
      <w:r>
        <w:rPr>
          <w:rtl w:val="true"/>
        </w:rPr>
        <w:t>וכך ניתן היה להגיע להמלצה טיפולית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עתר לאמץ את המלצת שירות המבחן להטלת שעות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ולהימנע מהטלת עבודות שירות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ענישה של מאסר בפועל</w:t>
      </w:r>
      <w:r>
        <w:rPr>
          <w:rtl w:val="true"/>
        </w:rPr>
        <w:t xml:space="preserve">, </w:t>
      </w:r>
      <w:r>
        <w:rPr>
          <w:rtl w:val="true"/>
        </w:rPr>
        <w:t>בין מאחורי סורג ובריח ובין בעבודות שירות</w:t>
      </w:r>
      <w:r>
        <w:rPr>
          <w:rtl w:val="true"/>
        </w:rPr>
        <w:t xml:space="preserve">, </w:t>
      </w:r>
      <w:r>
        <w:rPr>
          <w:rtl w:val="true"/>
        </w:rPr>
        <w:t>תחטיא את המטרה במקרה דנן</w:t>
      </w:r>
      <w:r>
        <w:rPr>
          <w:rtl w:val="true"/>
        </w:rPr>
        <w:t xml:space="preserve">, </w:t>
      </w:r>
      <w:r>
        <w:rPr>
          <w:rtl w:val="true"/>
        </w:rPr>
        <w:t>ועשויה היא אף להוביל את הנאשם למצב של אובדן מקום עבודתו</w:t>
      </w:r>
      <w:r>
        <w:rPr>
          <w:rtl w:val="true"/>
        </w:rPr>
        <w:t xml:space="preserve">. </w:t>
      </w:r>
      <w:r>
        <w:rPr>
          <w:rtl w:val="true"/>
        </w:rPr>
        <w:t>לחלופין עותר הוא להטלת עבודות שירות</w:t>
      </w:r>
      <w:r>
        <w:rPr>
          <w:rtl w:val="true"/>
        </w:rPr>
        <w:t xml:space="preserve">, </w:t>
      </w:r>
      <w:r>
        <w:rPr>
          <w:rtl w:val="true"/>
        </w:rPr>
        <w:t>בקיזוז ימי 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עמד בטיעוניו על העובדה שהמדובר בנאשם שהוא אדם מבוגר שזוהי לו הסתבכותו הראשונה והיחידה בפלילים</w:t>
      </w:r>
      <w:r>
        <w:rPr>
          <w:rtl w:val="true"/>
        </w:rPr>
        <w:t xml:space="preserve">, </w:t>
      </w:r>
      <w:r>
        <w:rPr>
          <w:rtl w:val="true"/>
        </w:rPr>
        <w:t>אשר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וחסך בזמן שיפוטי יקר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כי חלקו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באירוע היה שולי וקטן ביחס למעורבים האחרים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הדגיש גם את העובדה שבפרק הזמן הרב שחלף מאז האירוע ועד היום</w:t>
      </w:r>
      <w:r>
        <w:rPr>
          <w:rtl w:val="true"/>
        </w:rPr>
        <w:t xml:space="preserve">, </w:t>
      </w:r>
      <w:r>
        <w:rPr>
          <w:rtl w:val="true"/>
        </w:rPr>
        <w:t xml:space="preserve">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 הסתבך שוב 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ציין כי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 עצור במשך תקופה של חודשיים ויומיים</w:t>
      </w:r>
      <w:r>
        <w:rPr>
          <w:rtl w:val="true"/>
        </w:rPr>
        <w:t xml:space="preserve">, </w:t>
      </w:r>
      <w:r>
        <w:rPr>
          <w:rtl w:val="true"/>
        </w:rPr>
        <w:t>ויש לנכות תקופה זו מכל עונש מאסר אשר יוטל עליו</w:t>
      </w:r>
      <w:r>
        <w:rPr>
          <w:rtl w:val="true"/>
        </w:rPr>
        <w:t xml:space="preserve">, </w:t>
      </w:r>
      <w:r>
        <w:rPr>
          <w:rtl w:val="true"/>
        </w:rPr>
        <w:t>וזאת בהיעדר נימוקים יוצאי דופן</w:t>
      </w:r>
      <w:r>
        <w:rPr>
          <w:rtl w:val="true"/>
        </w:rPr>
        <w:t xml:space="preserve">, </w:t>
      </w:r>
      <w:r>
        <w:rPr>
          <w:rtl w:val="true"/>
        </w:rPr>
        <w:t>כנדרש על</w:t>
      </w:r>
      <w:r>
        <w:rPr>
          <w:rtl w:val="true"/>
        </w:rPr>
        <w:t>-</w:t>
      </w:r>
      <w:r>
        <w:rPr>
          <w:rtl w:val="true"/>
        </w:rPr>
        <w:t>פי הפסיקה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הדגיש כי יש צורך ליצור הבחנה ברורה בין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בענישה שתוטל עליהם</w:t>
      </w:r>
      <w:r>
        <w:rPr>
          <w:rtl w:val="true"/>
        </w:rPr>
        <w:t xml:space="preserve">, </w:t>
      </w:r>
      <w:r>
        <w:rPr>
          <w:rtl w:val="true"/>
        </w:rPr>
        <w:t>וזאת נוכח ההבדל הברור בין מצבם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האמור 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 האישום שהוגש כנגד הנאשמים</w:t>
      </w:r>
      <w:r>
        <w:rPr>
          <w:rtl w:val="true"/>
        </w:rPr>
        <w:t xml:space="preserve">, </w:t>
      </w:r>
      <w:r>
        <w:rPr>
          <w:rtl w:val="true"/>
        </w:rPr>
        <w:t>אף לאחר תיקונו</w:t>
      </w:r>
      <w:r>
        <w:rPr>
          <w:rtl w:val="true"/>
        </w:rPr>
        <w:t xml:space="preserve">, </w:t>
      </w:r>
      <w:r>
        <w:rPr>
          <w:rtl w:val="true"/>
        </w:rPr>
        <w:t>הינו כתב אישום חמור הכולל עבירות קשות ומכוערות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  המשפט פסקו לא אחת כי עבירת הסחיטה באיומים הינה עבירה שראוי להשית בגינה ענישה ממשית</w:t>
      </w:r>
      <w:r>
        <w:rPr>
          <w:rtl w:val="true"/>
        </w:rPr>
        <w:t xml:space="preserve">, </w:t>
      </w:r>
      <w:r>
        <w:rPr>
          <w:rtl w:val="true"/>
        </w:rPr>
        <w:t>ובין היתר בשל העובדה כי המניעים מאחורי ביצוע העבירה הינם מניעים של בצע כסף והשגת רווחים קלים תוך הטלת אימה של ממש על קורבן העבירה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נפסק ב</w:t>
      </w:r>
      <w:r>
        <w:rPr>
          <w:rtl w:val="true"/>
        </w:rPr>
        <w:t xml:space="preserve">-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602/02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רפי אוחנינה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>על העבירה של סחיטה באיומים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486" w:leader="none"/>
        </w:tabs>
        <w:spacing w:lineRule="auto" w:line="360"/>
        <w:ind w:start="1106" w:end="10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 של סחיטה באיומים פוגעת באושיות סדרי החברה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ניצול חולשתו של אדם באיומים על בטחונו ושלומו והטלת אימה כדי להשיג דבר מהקורבן מחייבת תגובה עונשית קשה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הנאשמים לא הסתפקו באיומים על המתלונן ועל בני משפחתו</w:t>
      </w:r>
      <w:r>
        <w:rPr>
          <w:rtl w:val="true"/>
        </w:rPr>
        <w:t xml:space="preserve">, </w:t>
      </w:r>
      <w:r>
        <w:rPr>
          <w:rtl w:val="true"/>
        </w:rPr>
        <w:t>אלא אף מימשו את איומיהם בפועל תוך שימוש באלימות פיזית כלפיו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ממכלול הדברים עולה כי המדובר באירוע שניתן לראות בו כמעידה חד פעמית</w:t>
      </w:r>
      <w:r>
        <w:rPr>
          <w:rtl w:val="true"/>
        </w:rPr>
        <w:t xml:space="preserve">, </w:t>
      </w:r>
      <w:r>
        <w:rPr>
          <w:rtl w:val="true"/>
        </w:rPr>
        <w:t>שכן אין לנאשמים עבר פלילי ולא נפתחו נגדם תיקים מאוחרים לתיק זה</w:t>
      </w:r>
      <w:r>
        <w:rPr>
          <w:rtl w:val="true"/>
        </w:rPr>
        <w:t xml:space="preserve">. </w:t>
      </w:r>
      <w:r>
        <w:rPr>
          <w:rtl w:val="true"/>
        </w:rPr>
        <w:t>לקחתי בחשבון גם את חלוף הזמן מאז מועד ביצוע העבירות</w:t>
      </w:r>
      <w:r>
        <w:rPr>
          <w:rtl w:val="true"/>
        </w:rPr>
        <w:t xml:space="preserve">. </w:t>
      </w:r>
      <w:r>
        <w:rPr>
          <w:rtl w:val="true"/>
        </w:rPr>
        <w:t>סבורני כי לאור לקיחת האחריות של הנאשמים והחרטה שהביעו ביחס למעשיהם</w:t>
      </w:r>
      <w:r>
        <w:rPr>
          <w:rtl w:val="true"/>
        </w:rPr>
        <w:t xml:space="preserve">, </w:t>
      </w:r>
      <w:r>
        <w:rPr>
          <w:rtl w:val="true"/>
        </w:rPr>
        <w:t>יש מקום ליתן בנאשמים אמון כי המדובר במעידה חד פעמית וכי יש לנאשמים כוונות אמת לשוב למעגל החיים הנורמטיבי</w:t>
      </w:r>
      <w:r>
        <w:rPr>
          <w:rtl w:val="true"/>
        </w:rPr>
        <w:t xml:space="preserve">. </w:t>
      </w:r>
      <w:r>
        <w:rPr>
          <w:rtl w:val="true"/>
        </w:rPr>
        <w:t>שני הנאשמים התייצבו לראיון בפני הממונה על עבודות שירות ונמצאו מתאימים לבצע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אין ספק כי אין מצבו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דומה למצבו של 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הדמות הדומיננטית באירוע</w:t>
      </w:r>
      <w:r>
        <w:rPr>
          <w:rtl w:val="true"/>
        </w:rPr>
        <w:t xml:space="preserve">: </w:t>
      </w:r>
      <w:r>
        <w:rPr>
          <w:rtl w:val="true"/>
        </w:rPr>
        <w:t xml:space="preserve">הוא היה בן זוגה של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הוא תכנן את האירוע</w:t>
      </w:r>
      <w:r>
        <w:rPr>
          <w:rtl w:val="true"/>
        </w:rPr>
        <w:t xml:space="preserve">, </w:t>
      </w:r>
      <w:r>
        <w:rPr>
          <w:rtl w:val="true"/>
        </w:rPr>
        <w:t>איים על המתלונן</w:t>
      </w:r>
      <w:r>
        <w:rPr>
          <w:rtl w:val="true"/>
        </w:rPr>
        <w:t xml:space="preserve">, </w:t>
      </w:r>
      <w:r>
        <w:rPr>
          <w:rtl w:val="true"/>
        </w:rPr>
        <w:t>הכה אותו</w:t>
      </w:r>
      <w:r>
        <w:rPr>
          <w:rtl w:val="true"/>
        </w:rPr>
        <w:t xml:space="preserve">, </w:t>
      </w:r>
      <w:r>
        <w:rPr>
          <w:rtl w:val="true"/>
        </w:rPr>
        <w:t>והתווה את אופן השתלשלות האירועים נשוא 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בנוסף לאישום המשותף עומד כנגדו אישום נוסף בו הודה בהחזקת נשק שלא כדין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הינו חבר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ומהתמונה הכוללת עולה כי חלקו באירועים נבע בעיקר מהיגררות אחר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החלטתי להסתפק לגבי שני הנאשמים בעונש של מאסר בפועל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במקום מאסר ממש מאחורי סורג ובריח</w:t>
      </w:r>
      <w:r>
        <w:rPr>
          <w:rtl w:val="true"/>
        </w:rPr>
        <w:t xml:space="preserve">. </w:t>
      </w:r>
      <w:r>
        <w:rPr>
          <w:rtl w:val="true"/>
        </w:rPr>
        <w:t xml:space="preserve">מצאתי כי ניתן לערוך פער בין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לגבי תקופת המאסר בפועל שכל אחד מהם ירצה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לאור העובדה שאינני משית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 מאסר ממש מאחורי סורג ובריח</w:t>
      </w:r>
      <w:r>
        <w:rPr>
          <w:rtl w:val="true"/>
        </w:rPr>
        <w:t xml:space="preserve">, </w:t>
      </w:r>
      <w:r>
        <w:rPr>
          <w:rtl w:val="true"/>
        </w:rPr>
        <w:t>ראיתי שניתן לאזן את ההקלה הזו שנעשתה בעניינו על ידי השתת פיצוי למתלונן בסכום העולה על הסכום שהוסכם בין הצדדים</w:t>
      </w:r>
      <w:r>
        <w:rPr>
          <w:rtl w:val="true"/>
        </w:rPr>
        <w:t xml:space="preserve">, </w:t>
      </w:r>
      <w:r>
        <w:rPr>
          <w:rtl w:val="true"/>
        </w:rPr>
        <w:t>וכן הוספת רכיב נוסף של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באיזון שבין חומרת 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נסיבותיהם האישיות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הזמן הרב שחלף מאז מועד ביצוע העבירות והעובדה שמדובר בנאשמים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תסקירים חיוביים של שרות המבחן אודות תפקודם כיום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הנני גוזר על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לגבי 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 xml:space="preserve">הנני משית עליו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ניתן לרצותם בדרך של עבודות שירות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הנאשם יתייצב  ב</w:t>
      </w:r>
      <w:r>
        <w:rPr>
          <w:rtl w:val="true"/>
        </w:rPr>
        <w:t xml:space="preserve">- </w:t>
      </w:r>
      <w:r>
        <w:rPr/>
        <w:t>15.6.11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משרדי הממונה על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עבודות שירות ברמלה  על מנת שיחל בביצוע 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אשר יבוצעו במרכז </w:t>
      </w:r>
      <w:r>
        <w:rPr>
          <w:rtl w:val="true"/>
        </w:rPr>
        <w:t>"</w:t>
      </w:r>
      <w:r>
        <w:rPr>
          <w:rtl w:val="true"/>
        </w:rPr>
        <w:t>פתחון לב</w:t>
      </w:r>
      <w:r>
        <w:rPr>
          <w:rtl w:val="true"/>
        </w:rPr>
        <w:t xml:space="preserve">" </w:t>
      </w:r>
      <w:r>
        <w:rPr>
          <w:rtl w:val="true"/>
        </w:rPr>
        <w:t xml:space="preserve">ברחוב לישנסקי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ראשון לציון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 xml:space="preserve">הנני משית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יבצע עבירת אלימות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הנני משית על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שלא יבצע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מהיום 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 ישלם פיצוי למתלונן בסך של 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 xml:space="preserve">הפיצוי ישולם עד ליום </w:t>
      </w:r>
      <w:r>
        <w:rPr/>
        <w:t>20.07.11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 ישלם קנס בסך של </w:t>
      </w:r>
      <w:r>
        <w:rPr/>
        <w:t>3,500</w:t>
      </w:r>
      <w:r>
        <w:rPr>
          <w:rtl w:val="true"/>
        </w:rPr>
        <w:t xml:space="preserve"> ₪, </w:t>
      </w:r>
      <w:r>
        <w:rPr>
          <w:rtl w:val="true"/>
        </w:rPr>
        <w:t>או שלושים 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הראשון שבהם עד ליום </w:t>
      </w:r>
      <w:r>
        <w:rPr/>
        <w:t>15.7.11</w:t>
      </w:r>
      <w:r>
        <w:rPr>
          <w:rtl w:val="true"/>
        </w:rPr>
        <w:t xml:space="preserve">, </w:t>
      </w:r>
      <w:r>
        <w:rPr>
          <w:rtl w:val="true"/>
        </w:rPr>
        <w:t>ויתרת התשלומים עד 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 אזי יעמוד מלוא סכום הקנס לפירעון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לגבי נאשם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b/>
          <w:bCs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הנני משית עליו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ניתן לרצותם בדרך של עבודות שירות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הנאשם  יתייצב  ב</w:t>
      </w:r>
      <w:r>
        <w:rPr>
          <w:rtl w:val="true"/>
        </w:rPr>
        <w:t xml:space="preserve">- </w:t>
      </w:r>
      <w:r>
        <w:rPr/>
        <w:t>27.7.11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משרדי הממונה על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עבודות שירות ברמלה  על מנת שיחל בביצוע עבודות השירות</w:t>
      </w:r>
      <w:r>
        <w:rPr>
          <w:rtl w:val="true"/>
        </w:rPr>
        <w:t xml:space="preserve">, </w:t>
      </w:r>
      <w:r>
        <w:rPr>
          <w:rtl w:val="true"/>
        </w:rPr>
        <w:t>אשר יבוצעו בעירית דימונה</w:t>
      </w:r>
      <w:r>
        <w:rPr>
          <w:rtl w:val="true"/>
        </w:rPr>
        <w:t xml:space="preserve">, </w:t>
      </w:r>
      <w:r>
        <w:rPr>
          <w:rtl w:val="true"/>
        </w:rPr>
        <w:t>במרכז המסחרי בדימונה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 xml:space="preserve">הנני משית על הנאשם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באם יבצע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עבירת אלימות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 ישלם פיצוי למתלונן בסך של </w:t>
      </w:r>
      <w:r>
        <w:rPr/>
        <w:t>1,000</w:t>
      </w:r>
      <w:r>
        <w:rPr>
          <w:rtl w:val="true"/>
        </w:rPr>
        <w:t xml:space="preserve"> ₪. </w:t>
      </w:r>
      <w:r>
        <w:rPr>
          <w:rtl w:val="true"/>
        </w:rPr>
        <w:t xml:space="preserve">הפיצוי ישולם עד ליום </w:t>
      </w:r>
      <w:r>
        <w:rPr/>
        <w:t>20.07.11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במחוז מרכז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3158-07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סרגי גופמן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2.a" TargetMode="External"/><Relationship Id="rId7" Type="http://schemas.openxmlformats.org/officeDocument/2006/relationships/hyperlink" Target="http://www.nevo.co.il/law/70301/404" TargetMode="External"/><Relationship Id="rId8" Type="http://schemas.openxmlformats.org/officeDocument/2006/relationships/hyperlink" Target="http://www.nevo.co.il/law/70301/428" TargetMode="External"/><Relationship Id="rId9" Type="http://schemas.openxmlformats.org/officeDocument/2006/relationships/hyperlink" Target="http://www.nevo.co.il/law/70301/428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13643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2016-05-23T21:33:00Z</dcterms:created>
  <dc:creator> </dc:creator>
  <dc:description/>
  <cp:keywords/>
  <dc:language>en-IL</dc:language>
  <cp:lastModifiedBy>yafit</cp:lastModifiedBy>
  <dcterms:modified xsi:type="dcterms:W3CDTF">2016-05-23T21:33:00Z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סרגי גופמן;טטאינה אוסבטצב;אדיק איליאייב</vt:lpwstr>
  </property>
  <property fmtid="{D5CDD505-2E9C-101B-9397-08002B2CF9AE}" pid="4" name="CASESLISTTMP1">
    <vt:lpwstr>5713643</vt:lpwstr>
  </property>
  <property fmtid="{D5CDD505-2E9C-101B-9397-08002B2CF9AE}" pid="5" name="CITY">
    <vt:lpwstr>רמ'</vt:lpwstr>
  </property>
  <property fmtid="{D5CDD505-2E9C-101B-9397-08002B2CF9AE}" pid="6" name="DATE">
    <vt:lpwstr>20110612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70301/428;379;382.a;404;144.a;144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3158</vt:lpwstr>
  </property>
  <property fmtid="{D5CDD505-2E9C-101B-9397-08002B2CF9AE}" pid="25" name="NEWPARTB">
    <vt:lpwstr/>
  </property>
  <property fmtid="{D5CDD505-2E9C-101B-9397-08002B2CF9AE}" pid="26" name="NEWPARTC">
    <vt:lpwstr>07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3158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07 3158 683 htm</vt:lpwstr>
  </property>
  <property fmtid="{D5CDD505-2E9C-101B-9397-08002B2CF9AE}" pid="36" name="TYPE">
    <vt:lpwstr>3</vt:lpwstr>
  </property>
  <property fmtid="{D5CDD505-2E9C-101B-9397-08002B2CF9AE}" pid="37" name="TYPE_ABS_DATE">
    <vt:lpwstr>380020110612</vt:lpwstr>
  </property>
  <property fmtid="{D5CDD505-2E9C-101B-9397-08002B2CF9AE}" pid="38" name="TYPE_N_DATE">
    <vt:lpwstr>38020110612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