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567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השופט רפי כרמל</w:t>
            </w:r>
          </w:p>
          <w:p>
            <w:pPr>
              <w:pStyle w:val="Header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12"/>
                <w:szCs w:val="12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12"/>
                <w:szCs w:val="12"/>
                <w:rtl w:val="true"/>
              </w:rPr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ת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"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פ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 </w:t>
            </w:r>
            <w:r>
              <w:rPr>
                <w:rFonts w:cs="Tahoma" w:ascii="Tahoma" w:hAnsi="Tahoma"/>
                <w:b/>
                <w:bCs/>
                <w:color w:val="000080"/>
              </w:rPr>
              <w:t>31661-09-17</w:t>
            </w:r>
          </w:p>
        </w:tc>
      </w:tr>
    </w:tbl>
    <w:p>
      <w:pPr>
        <w:pStyle w:val="Header"/>
        <w:ind w:end="0"/>
        <w:jc w:val="start"/>
        <w:rPr>
          <w:sz w:val="68"/>
          <w:szCs w:val="68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68"/>
          <w:szCs w:val="68"/>
        </w:rPr>
      </w:pPr>
      <w:r>
        <w:rPr>
          <w:sz w:val="68"/>
          <w:szCs w:val="68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ירושלים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120" w:after="12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exact" w:line="240" w:before="120" w:after="12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יואב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גלאם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/>
            </w:pP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פנחס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גלאם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bookmarkStart w:id="2" w:name="LawTable"/>
      <w:bookmarkEnd w:id="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/>
          <w:bCs/>
          <w:sz w:val="40"/>
          <w:szCs w:val="40"/>
          <w:u w:val="single"/>
        </w:rPr>
      </w:pPr>
      <w:bookmarkStart w:id="5" w:name="PsakDin"/>
      <w:bookmarkEnd w:id="5"/>
      <w:r>
        <w:rPr>
          <w:rFonts w:ascii="Arial" w:hAnsi="Arial" w:cs="FrankRuehl"/>
          <w:bCs/>
          <w:sz w:val="40"/>
          <w:sz w:val="40"/>
          <w:szCs w:val="40"/>
          <w:u w:val="single"/>
          <w:rtl w:val="true"/>
        </w:rPr>
        <w:t>גזר</w:t>
      </w:r>
      <w:r>
        <w:rPr>
          <w:rFonts w:ascii="Arial" w:hAnsi="Arial" w:eastAsia="Arial" w:cs="Arial"/>
          <w:bCs/>
          <w:sz w:val="40"/>
          <w:sz w:val="40"/>
          <w:szCs w:val="40"/>
          <w:u w:val="single"/>
          <w:rtl w:val="true"/>
        </w:rPr>
        <w:t xml:space="preserve"> </w:t>
      </w:r>
      <w:r>
        <w:rPr>
          <w:rFonts w:ascii="Arial" w:hAnsi="Arial" w:cs="FrankRuehl"/>
          <w:bCs/>
          <w:sz w:val="40"/>
          <w:sz w:val="40"/>
          <w:szCs w:val="40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  <w:u w:val="single"/>
        </w:rPr>
      </w:pPr>
      <w:bookmarkStart w:id="6" w:name="PsakDin"/>
      <w:bookmarkEnd w:id="6"/>
      <w:r>
        <w:rPr>
          <w:rFonts w:ascii="Arial" w:hAnsi="Arial" w:cs="FrankRuehl"/>
          <w:sz w:val="40"/>
          <w:sz w:val="40"/>
          <w:szCs w:val="40"/>
          <w:u w:val="single"/>
          <w:rtl w:val="true"/>
        </w:rPr>
        <w:t>בעניינו</w:t>
      </w:r>
      <w:r>
        <w:rPr>
          <w:rFonts w:ascii="Arial" w:hAnsi="Arial" w:eastAsia="Arial" w:cs="Arial"/>
          <w:sz w:val="40"/>
          <w:sz w:val="40"/>
          <w:szCs w:val="40"/>
          <w:u w:val="single"/>
          <w:rtl w:val="true"/>
        </w:rPr>
        <w:t xml:space="preserve"> </w:t>
      </w:r>
      <w:r>
        <w:rPr>
          <w:rFonts w:ascii="Arial" w:hAnsi="Arial" w:cs="FrankRuehl"/>
          <w:sz w:val="40"/>
          <w:sz w:val="40"/>
          <w:szCs w:val="40"/>
          <w:u w:val="single"/>
          <w:rtl w:val="true"/>
        </w:rPr>
        <w:t>של</w:t>
      </w:r>
      <w:r>
        <w:rPr>
          <w:rFonts w:ascii="Arial" w:hAnsi="Arial" w:eastAsia="Arial" w:cs="Arial"/>
          <w:sz w:val="40"/>
          <w:sz w:val="40"/>
          <w:szCs w:val="40"/>
          <w:u w:val="single"/>
          <w:rtl w:val="true"/>
        </w:rPr>
        <w:t xml:space="preserve"> </w:t>
      </w:r>
      <w:r>
        <w:rPr>
          <w:rFonts w:ascii="Arial" w:hAnsi="Arial" w:cs="FrankRuehl"/>
          <w:sz w:val="40"/>
          <w:sz w:val="40"/>
          <w:szCs w:val="40"/>
          <w:u w:val="single"/>
          <w:rtl w:val="true"/>
        </w:rPr>
        <w:t>נאשם</w:t>
      </w:r>
      <w:r>
        <w:rPr>
          <w:rFonts w:ascii="Arial" w:hAnsi="Arial" w:eastAsia="Arial" w:cs="Arial"/>
          <w:sz w:val="40"/>
          <w:sz w:val="40"/>
          <w:szCs w:val="40"/>
          <w:u w:val="single"/>
          <w:rtl w:val="true"/>
        </w:rPr>
        <w:t xml:space="preserve"> </w:t>
      </w:r>
      <w:r>
        <w:rPr>
          <w:rFonts w:cs="FrankRuehl" w:ascii="Arial" w:hAnsi="Arial"/>
          <w:sz w:val="40"/>
          <w:szCs w:val="40"/>
          <w:u w:val="single"/>
        </w:rPr>
        <w:t>1</w:t>
      </w:r>
    </w:p>
    <w:p>
      <w:pPr>
        <w:pStyle w:val="Normal"/>
        <w:ind w:end="0"/>
        <w:jc w:val="start"/>
        <w:rPr>
          <w:rFonts w:ascii="Arial" w:hAnsi="Arial" w:cs="Arial"/>
          <w:sz w:val="32"/>
          <w:szCs w:val="32"/>
          <w:u w:val="single"/>
        </w:rPr>
      </w:pPr>
      <w:r>
        <w:rPr>
          <w:rFonts w:cs="Arial" w:ascii="Arial" w:hAnsi="Arial"/>
          <w:sz w:val="32"/>
          <w:szCs w:val="32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1</w:t>
      </w:r>
      <w:r>
        <w:rPr>
          <w:spacing w:val="22"/>
          <w:rtl w:val="true"/>
        </w:rPr>
        <w:t>.</w:t>
        <w:tab/>
      </w:r>
      <w:bookmarkStart w:id="7" w:name="ABSTRACT_START"/>
      <w:bookmarkEnd w:id="7"/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הורשע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הודאתו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בכתב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מתוקן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המחזיק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אישומים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כלהלן</w:t>
      </w:r>
      <w:r>
        <w:rPr>
          <w:spacing w:val="22"/>
          <w:rtl w:val="true"/>
        </w:rPr>
        <w:t xml:space="preserve">: </w:t>
      </w:r>
      <w:r>
        <w:rPr>
          <w:spacing w:val="22"/>
          <w:rtl w:val="true"/>
        </w:rPr>
        <w:t>בגדר</w:t>
      </w:r>
      <w:r>
        <w:rPr>
          <w:rFonts w:cs="Times New Roman"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האישום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הראשון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spacing w:val="22"/>
          <w:rtl w:val="true"/>
        </w:rPr>
        <w:t>הורשע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ועסקה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hyperlink r:id="rId12">
        <w:r>
          <w:rPr>
            <w:rStyle w:val="Hyperlink"/>
            <w:color w:val="0000FF"/>
            <w:spacing w:val="22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2"/>
            <w:rtl w:val="true"/>
          </w:rPr>
          <w:t xml:space="preserve"> </w:t>
        </w:r>
        <w:r>
          <w:rPr>
            <w:rStyle w:val="Hyperlink"/>
            <w:color w:val="0000FF"/>
            <w:spacing w:val="22"/>
          </w:rPr>
          <w:t>144</w:t>
        </w:r>
        <w:r>
          <w:rPr>
            <w:rStyle w:val="Hyperlink"/>
            <w:color w:val="0000FF"/>
            <w:spacing w:val="22"/>
            <w:rtl w:val="true"/>
          </w:rPr>
          <w:t xml:space="preserve"> (</w:t>
        </w:r>
        <w:r>
          <w:rPr>
            <w:rStyle w:val="Hyperlink"/>
            <w:color w:val="0000FF"/>
            <w:spacing w:val="22"/>
            <w:rtl w:val="true"/>
          </w:rPr>
          <w:t>ב</w:t>
        </w:r>
        <w:r>
          <w:rPr>
            <w:rStyle w:val="Hyperlink"/>
            <w:color w:val="0000FF"/>
            <w:spacing w:val="22"/>
          </w:rPr>
          <w:t>2</w:t>
        </w:r>
        <w:r>
          <w:rPr>
            <w:rStyle w:val="Hyperlink"/>
            <w:color w:val="0000FF"/>
            <w:spacing w:val="22"/>
            <w:rtl w:val="true"/>
          </w:rPr>
          <w:t>)</w:t>
        </w:r>
      </w:hyperlink>
      <w:r>
        <w:rPr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</w:t>
      </w:r>
      <w:hyperlink r:id="rId13">
        <w:r>
          <w:rPr>
            <w:rStyle w:val="Hyperlink"/>
            <w:b/>
            <w:b/>
            <w:bCs/>
            <w:color w:val="0000FF"/>
            <w:spacing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pacing w:val="22"/>
            <w:u w:val="single"/>
            <w:rtl w:val="true"/>
          </w:rPr>
          <w:t>העונשין</w:t>
        </w:r>
      </w:hyperlink>
      <w:r>
        <w:rPr>
          <w:b/>
          <w:bCs/>
          <w:spacing w:val="22"/>
          <w:rtl w:val="true"/>
        </w:rPr>
        <w:t xml:space="preserve">, </w:t>
      </w:r>
      <w:r>
        <w:rPr>
          <w:b/>
          <w:b/>
          <w:bCs/>
          <w:spacing w:val="22"/>
          <w:rtl w:val="true"/>
        </w:rPr>
        <w:t>תשל</w:t>
      </w:r>
      <w:r>
        <w:rPr>
          <w:b/>
          <w:bCs/>
          <w:spacing w:val="22"/>
          <w:rtl w:val="true"/>
        </w:rPr>
        <w:t>"</w:t>
      </w:r>
      <w:r>
        <w:rPr>
          <w:b/>
          <w:b/>
          <w:bCs/>
          <w:spacing w:val="22"/>
          <w:rtl w:val="true"/>
        </w:rPr>
        <w:t>ז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–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Cs/>
          <w:spacing w:val="22"/>
        </w:rPr>
        <w:t>1977</w:t>
      </w:r>
      <w:r>
        <w:rPr>
          <w:b/>
          <w:bCs/>
          <w:spacing w:val="22"/>
          <w:rtl w:val="true"/>
        </w:rPr>
        <w:t xml:space="preserve"> </w:t>
      </w:r>
      <w:bookmarkStart w:id="8" w:name="ABSTRACT_END"/>
      <w:bookmarkEnd w:id="8"/>
      <w:r>
        <w:rPr>
          <w:b/>
          <w:bCs/>
          <w:spacing w:val="22"/>
          <w:rtl w:val="true"/>
        </w:rPr>
        <w:t>(</w:t>
      </w:r>
      <w:r>
        <w:rPr>
          <w:b/>
          <w:b/>
          <w:bCs/>
          <w:spacing w:val="22"/>
          <w:rtl w:val="true"/>
        </w:rPr>
        <w:t>להן</w:t>
      </w:r>
      <w:r>
        <w:rPr>
          <w:b/>
          <w:bCs/>
          <w:spacing w:val="22"/>
          <w:rtl w:val="true"/>
        </w:rPr>
        <w:t>: "</w:t>
      </w:r>
      <w:r>
        <w:rPr>
          <w:b/>
          <w:b/>
          <w:bCs/>
          <w:spacing w:val="22"/>
          <w:rtl w:val="true"/>
        </w:rPr>
        <w:t>החוק</w:t>
      </w:r>
      <w:r>
        <w:rPr>
          <w:b/>
          <w:bCs/>
          <w:spacing w:val="22"/>
          <w:rtl w:val="true"/>
        </w:rPr>
        <w:t xml:space="preserve">"). </w:t>
      </w:r>
      <w:r>
        <w:rPr>
          <w:spacing w:val="22"/>
          <w:rtl w:val="true"/>
        </w:rPr>
        <w:t>בגדר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האישום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שני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spacing w:val="22"/>
          <w:rtl w:val="true"/>
        </w:rPr>
        <w:t>הורשע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ועסקה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בנשק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ואלו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המתוארים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הראשון</w:t>
      </w:r>
      <w:r>
        <w:rPr>
          <w:spacing w:val="22"/>
          <w:rtl w:val="true"/>
        </w:rPr>
        <w:t xml:space="preserve">: </w:t>
      </w:r>
      <w:r>
        <w:rPr>
          <w:spacing w:val="22"/>
          <w:rtl w:val="true"/>
        </w:rPr>
        <w:t>שלושה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חודשים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האירועים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המתוארים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בכתב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האישום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התקשר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משטרתי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ובהמשך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השניים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נפגשו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שאל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בידו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אפשרות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להשיג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אמל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ח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השיב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בחיוב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4/4/17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בשעות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הבוקר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התקשר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וביקש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להיפגע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אחה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צ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בשעה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14:30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לערך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נפגש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השניים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שוחחו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היתר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שאל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כיוון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לאמל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ח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ברשותו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עטים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יורים</w:t>
      </w:r>
      <w:r>
        <w:rPr>
          <w:spacing w:val="22"/>
          <w:rtl w:val="true"/>
        </w:rPr>
        <w:t xml:space="preserve">", </w:t>
      </w:r>
      <w:r>
        <w:rPr>
          <w:spacing w:val="22"/>
          <w:rtl w:val="true"/>
        </w:rPr>
        <w:t>היורים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תחמושת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חיה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עטים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מצוינים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מטווח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קצר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עוד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אמר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1,200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דולר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בהמשך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להצעת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בוצעו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מספר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שיחות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תיאום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הוסכם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קנייה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תמורת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4,500</w:t>
      </w:r>
      <w:r>
        <w:rPr>
          <w:spacing w:val="22"/>
          <w:rtl w:val="true"/>
        </w:rPr>
        <w:t xml:space="preserve"> </w:t>
      </w:r>
      <w:r>
        <w:rPr>
          <w:rFonts w:eastAsia="David" w:ascii="David" w:hAnsi="David"/>
          <w:spacing w:val="22"/>
          <w:rtl w:val="true"/>
        </w:rPr>
        <w:t>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בהמשך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15/5/17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בשעות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הערב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נפגשו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שהגיע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אדם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לנתניה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ביקש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שיסע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אחריו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השלושה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נסעו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רכב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למקום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בנתניה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אמר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מחכה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לאדם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נוסף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שיביא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העט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הלך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וחזר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כעבור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מספר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דקות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היורה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בידו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והסוכן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עבורו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2,400</w:t>
      </w:r>
      <w:r>
        <w:rPr>
          <w:spacing w:val="22"/>
          <w:rtl w:val="true"/>
        </w:rPr>
        <w:t xml:space="preserve"> </w:t>
      </w:r>
      <w:r>
        <w:rPr>
          <w:rFonts w:eastAsia="David" w:ascii="David" w:hAnsi="David"/>
          <w:spacing w:val="22"/>
          <w:rtl w:val="true"/>
        </w:rPr>
        <w:t>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מחלוקת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מצינור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ומסוגל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תחמושת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תקנית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העט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נבדק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במעבדה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ונמצא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תחמושת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בכוחו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להמית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אדם</w:t>
      </w:r>
      <w:r>
        <w:rPr>
          <w:spacing w:val="22"/>
          <w:rtl w:val="true"/>
        </w:rPr>
        <w:t xml:space="preserve">. </w:t>
      </w:r>
      <w:r>
        <w:rPr>
          <w:b/>
          <w:b/>
          <w:bCs/>
          <w:spacing w:val="22"/>
          <w:rtl w:val="true"/>
        </w:rPr>
        <w:t>בגדר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האישום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השני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התקיימו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שיחות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לסוכן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הוסכם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עטים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תמורת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6,375</w:t>
      </w:r>
      <w:r>
        <w:rPr>
          <w:spacing w:val="22"/>
          <w:rtl w:val="true"/>
        </w:rPr>
        <w:t xml:space="preserve"> </w:t>
      </w:r>
      <w:r>
        <w:rPr>
          <w:rFonts w:eastAsia="David" w:ascii="David" w:hAnsi="David"/>
          <w:spacing w:val="22"/>
          <w:rtl w:val="true"/>
        </w:rPr>
        <w:t>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28/5/17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נפגשו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השניים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עטים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יורים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  <w:sz w:val="36"/>
          <w:szCs w:val="36"/>
        </w:rPr>
      </w:pPr>
      <w:r>
        <w:rPr>
          <w:spacing w:val="22"/>
          <w:sz w:val="36"/>
          <w:szCs w:val="36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2</w:t>
      </w:r>
      <w:r>
        <w:rPr>
          <w:spacing w:val="22"/>
          <w:rtl w:val="true"/>
        </w:rPr>
        <w:t>.</w:t>
      </w:r>
      <w:r>
        <w:rPr>
          <w:spacing w:val="22"/>
          <w:rtl w:val="true"/>
        </w:rPr>
        <w:tab/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כבן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58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הרשעות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קודמות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  <w:sz w:val="36"/>
          <w:szCs w:val="36"/>
        </w:rPr>
      </w:pPr>
      <w:r>
        <w:rPr>
          <w:spacing w:val="22"/>
          <w:sz w:val="36"/>
          <w:szCs w:val="36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3</w:t>
      </w:r>
      <w:r>
        <w:rPr>
          <w:spacing w:val="22"/>
          <w:rtl w:val="true"/>
        </w:rPr>
        <w:t>.</w:t>
      </w:r>
      <w:r>
        <w:rPr>
          <w:spacing w:val="22"/>
          <w:rtl w:val="true"/>
        </w:rPr>
        <w:tab/>
      </w:r>
      <w:r>
        <w:rPr>
          <w:spacing w:val="22"/>
          <w:rtl w:val="true"/>
        </w:rPr>
        <w:t>בעניינו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התקבלו</w:t>
      </w:r>
      <w:r>
        <w:rPr>
          <w:rFonts w:cs="Times New Roman"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תסקירי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שירות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מבחן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מהתסקירים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גרוש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לארבעה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ילדים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החל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לעבוד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מגיל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צעיר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2000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עבד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בתחום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היהלומים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חלה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הידרדרות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במצבו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הכלכלי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בנישואיו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עקב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התמכרותו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להימורים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התרשם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יכולות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וכישורים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לתפקוד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תקין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לאבחון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בנושא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התמכרויות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בהמשך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מפרט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בתסקיר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משלים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נוטה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להציג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עצמו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באופן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קורבני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מתקשה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להביט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בחלקים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הבעייתיים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באישיותו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וממעיט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העבירות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זאת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השתלב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במסגרת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הטיפול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להתמכרויות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בטיפול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קבוצתי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המתקיים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פעמים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בשבוע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הגיע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באופן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סדיר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לפעילות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ושיתף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פעולה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הופנה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לטיפול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בהתמכרויות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במסגרת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המחלקה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לשירותים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חברתיים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חדרה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המעניקה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ספציפי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להתמכרות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בתחום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ההימורים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למסגרת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הגיע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באופן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סדיר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ושיתף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פעולה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צוין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מצליח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להתבונן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באופן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ביקורתי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יותר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בדפוסי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החשיבה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וההתנהגות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שאפיינו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מעורבותו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בתחום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ההימורים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מכיר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בהשלכות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בהתמכרותו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מעוניין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שינוי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משמעותי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בתפקודו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המליץ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להעמידו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בצו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למשך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צוין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יקטע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הליך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השיקום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ויגרום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לרגרסיה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במצבו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ולהשגיו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הטיפוליים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בעבודות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ימנעו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המשך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ההליך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הטיפולי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ביחידה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להתמכרויות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על</w:t>
      </w:r>
      <w:r>
        <w:rPr>
          <w:spacing w:val="22"/>
          <w:rtl w:val="true"/>
        </w:rPr>
        <w:t>-</w:t>
      </w:r>
      <w:r>
        <w:rPr>
          <w:spacing w:val="22"/>
          <w:rtl w:val="true"/>
        </w:rPr>
        <w:t>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לשקול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להטיל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צ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  <w:sz w:val="36"/>
          <w:szCs w:val="36"/>
        </w:rPr>
      </w:pPr>
      <w:r>
        <w:rPr>
          <w:spacing w:val="22"/>
          <w:sz w:val="36"/>
          <w:szCs w:val="3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pacing w:val="22"/>
        </w:rPr>
      </w:pPr>
      <w:r>
        <w:rPr>
          <w:spacing w:val="22"/>
        </w:rPr>
        <w:t>4</w:t>
      </w:r>
      <w:r>
        <w:rPr>
          <w:spacing w:val="22"/>
          <w:rtl w:val="true"/>
        </w:rPr>
        <w:t>.</w:t>
      </w:r>
      <w:r>
        <w:rPr>
          <w:spacing w:val="22"/>
          <w:rtl w:val="true"/>
        </w:rPr>
        <w:tab/>
      </w:r>
      <w:r>
        <w:rPr>
          <w:b/>
          <w:b/>
          <w:bCs/>
          <w:spacing w:val="22"/>
          <w:rtl w:val="true"/>
        </w:rPr>
        <w:t>ב</w:t>
      </w:r>
      <w:r>
        <w:rPr>
          <w:b/>
          <w:bCs/>
          <w:spacing w:val="22"/>
          <w:rtl w:val="true"/>
        </w:rPr>
        <w:t>"</w:t>
      </w:r>
      <w:r>
        <w:rPr>
          <w:b/>
          <w:b/>
          <w:bCs/>
          <w:spacing w:val="22"/>
          <w:rtl w:val="true"/>
        </w:rPr>
        <w:t>כ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המאשימה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המוגן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שמירת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הגוף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והביטחון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גוררות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עונשי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ממושכים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הפנייה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להחלטות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לפיהן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צורך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להחמיר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ברמת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בנשק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ביצע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הזדמנויות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שונות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היוזם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העסקאות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שהתקשר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לסוכן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הנזק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הפוטנציאלי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כתוצאה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ומובן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ניתן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לחזות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לידיו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יתגלגל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שכזה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תחמושת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גרוע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מבקבוק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תבערה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הפנייה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למתחמי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שנקבעו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בגין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באקדחים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ותת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מקלעים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לטענת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המאשימה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הראוי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spacing w:val="22"/>
          <w:rtl w:val="true"/>
        </w:rPr>
        <w:t xml:space="preserve"> </w:t>
      </w:r>
      <w:r>
        <w:rPr>
          <w:spacing w:val="22"/>
        </w:rPr>
        <w:t>40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ובהתחשב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לקולא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בהן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הודאתו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וההליך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הטיפולי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לגזור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pacing w:val="22"/>
        </w:rPr>
      </w:pPr>
      <w:r>
        <w:rPr>
          <w:b/>
          <w:bCs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5</w:t>
      </w:r>
      <w:r>
        <w:rPr>
          <w:spacing w:val="22"/>
          <w:rtl w:val="true"/>
        </w:rPr>
        <w:t>.</w:t>
      </w:r>
      <w:r>
        <w:rPr>
          <w:spacing w:val="22"/>
          <w:rtl w:val="true"/>
        </w:rPr>
        <w:tab/>
      </w:r>
      <w:r>
        <w:rPr>
          <w:spacing w:val="22"/>
          <w:rtl w:val="true"/>
        </w:rPr>
        <w:t>מנגד</w:t>
      </w:r>
      <w:r>
        <w:rPr>
          <w:spacing w:val="22"/>
          <w:rtl w:val="true"/>
        </w:rPr>
        <w:t xml:space="preserve">, </w:t>
      </w:r>
      <w:r>
        <w:rPr>
          <w:b/>
          <w:b/>
          <w:bCs/>
          <w:spacing w:val="22"/>
          <w:rtl w:val="true"/>
        </w:rPr>
        <w:t>הסנגור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פסקי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אליהם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הפנתה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המאשימה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עסקו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בסחר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באקדחים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מתוחכמים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יותר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חשש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שאותם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 </w:t>
      </w:r>
      <w:r>
        <w:rPr>
          <w:spacing w:val="22"/>
          <w:rtl w:val="true"/>
        </w:rPr>
        <w:t>יגיעו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לידיים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שישתמשו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בנשקים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לפעילות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חבלנית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58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הרשעות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קודמות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עסק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ארוכות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בעסקי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יהלומים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עבד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באורח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נורמטיבי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וההידרדרות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עקב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התמכרותו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להימורים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שיכולתו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מוגבלת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ובאה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הפנייה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לפסקי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שעסקו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במכירת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הוטלו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עונשים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שכללו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צ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ועבודות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נטען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טעה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בשיקול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דעתו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שהה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חודשיים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במעצר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ממש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פסים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שיקומיים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באדם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דפוסי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התנהגות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עבריינים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חרטה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דגש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שיקול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השיקום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ניתן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לאמץ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המלצת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ולהורות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עבודות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צ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לגרום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להליך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השיקום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לטמיון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spacing w:val="22"/>
        </w:rPr>
      </w:pPr>
      <w:r>
        <w:rPr>
          <w:spacing w:val="22"/>
          <w:rtl w:val="true"/>
        </w:rPr>
        <w:t>אף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חרטה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וצער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מעשיו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spacing w:val="22"/>
          <w:sz w:val="20"/>
          <w:szCs w:val="20"/>
        </w:rPr>
      </w:pPr>
      <w:r>
        <w:rPr>
          <w:spacing w:val="22"/>
          <w:sz w:val="20"/>
          <w:szCs w:val="20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pacing w:val="22"/>
          <w:sz w:val="20"/>
          <w:szCs w:val="20"/>
        </w:rPr>
      </w:pPr>
      <w:r>
        <w:rPr>
          <w:spacing w:val="22"/>
          <w:sz w:val="20"/>
          <w:szCs w:val="20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pacing w:val="22"/>
          <w:sz w:val="20"/>
          <w:szCs w:val="20"/>
        </w:rPr>
      </w:pPr>
      <w:r>
        <w:rPr>
          <w:spacing w:val="22"/>
          <w:sz w:val="20"/>
          <w:szCs w:val="20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pacing w:val="22"/>
          <w:sz w:val="20"/>
          <w:szCs w:val="20"/>
        </w:rPr>
      </w:pPr>
      <w:r>
        <w:rPr>
          <w:spacing w:val="22"/>
          <w:sz w:val="20"/>
          <w:szCs w:val="20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pacing w:val="22"/>
          <w:sz w:val="20"/>
          <w:szCs w:val="20"/>
        </w:rPr>
      </w:pPr>
      <w:r>
        <w:rPr>
          <w:spacing w:val="22"/>
          <w:sz w:val="20"/>
          <w:szCs w:val="20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pacing w:val="22"/>
          <w:sz w:val="20"/>
          <w:szCs w:val="20"/>
        </w:rPr>
      </w:pPr>
      <w:r>
        <w:rPr>
          <w:spacing w:val="22"/>
          <w:sz w:val="20"/>
          <w:szCs w:val="20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spacing w:val="22"/>
        </w:rPr>
      </w:pPr>
      <w:r>
        <w:rPr>
          <w:b/>
          <w:b/>
          <w:bCs/>
          <w:spacing w:val="22"/>
          <w:rtl w:val="true"/>
        </w:rPr>
        <w:t>דיון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ומסקנות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6</w:t>
      </w:r>
      <w:r>
        <w:rPr>
          <w:spacing w:val="22"/>
          <w:rtl w:val="true"/>
        </w:rPr>
        <w:t>.</w:t>
      </w:r>
      <w:r>
        <w:rPr>
          <w:spacing w:val="22"/>
          <w:rtl w:val="true"/>
        </w:rPr>
        <w:tab/>
      </w:r>
      <w:r>
        <w:rPr>
          <w:spacing w:val="22"/>
          <w:rtl w:val="true"/>
        </w:rPr>
        <w:t>העקרון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המנחה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קיומו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יחס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חומרת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בנסיבותיו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ומידת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אשמו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סוג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ומידת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המוטל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עליו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ייקבע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בהתאם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לעקרון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המנחה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תבוא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התחשבות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החברתי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שנפגע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במידת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הפגיעה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ערך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ובמדיניות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הנוהגת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hyperlink r:id="rId14">
        <w:r>
          <w:rPr>
            <w:rStyle w:val="Hyperlink"/>
            <w:color w:val="0000FF"/>
            <w:spacing w:val="22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pacing w:val="22"/>
            <w:rtl w:val="true"/>
          </w:rPr>
          <w:t xml:space="preserve"> </w:t>
        </w:r>
        <w:r>
          <w:rPr>
            <w:rStyle w:val="Hyperlink"/>
            <w:color w:val="0000FF"/>
            <w:spacing w:val="22"/>
          </w:rPr>
          <w:t>40</w:t>
        </w:r>
        <w:r>
          <w:rPr>
            <w:rStyle w:val="Hyperlink"/>
            <w:color w:val="0000FF"/>
            <w:spacing w:val="22"/>
            <w:rtl w:val="true"/>
          </w:rPr>
          <w:t>ב</w:t>
        </w:r>
        <w:r>
          <w:rPr>
            <w:rStyle w:val="Hyperlink"/>
            <w:color w:val="0000FF"/>
            <w:spacing w:val="22"/>
            <w:rtl w:val="true"/>
          </w:rPr>
          <w:t>'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hyperlink r:id="rId15">
        <w:r>
          <w:rPr>
            <w:rStyle w:val="Hyperlink"/>
            <w:color w:val="0000FF"/>
            <w:spacing w:val="22"/>
            <w:u w:val="single"/>
          </w:rPr>
          <w:t>40</w:t>
        </w:r>
        <w:r>
          <w:rPr>
            <w:rStyle w:val="Hyperlink"/>
            <w:color w:val="0000FF"/>
            <w:spacing w:val="22"/>
            <w:u w:val="single"/>
            <w:rtl w:val="true"/>
          </w:rPr>
          <w:t>ג</w:t>
        </w:r>
        <w:r>
          <w:rPr>
            <w:rStyle w:val="Hyperlink"/>
            <w:color w:val="0000FF"/>
            <w:spacing w:val="22"/>
            <w:u w:val="single"/>
            <w:rtl w:val="true"/>
          </w:rPr>
          <w:t>'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hyperlink r:id="rId16">
        <w:r>
          <w:rPr>
            <w:rStyle w:val="Hyperlink"/>
            <w:color w:val="0000FF"/>
            <w:spacing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העונשין</w:t>
        </w:r>
      </w:hyperlink>
      <w:r>
        <w:rPr>
          <w:spacing w:val="22"/>
          <w:rtl w:val="true"/>
        </w:rPr>
        <w:t xml:space="preserve">). </w:t>
      </w:r>
      <w:r>
        <w:rPr>
          <w:spacing w:val="22"/>
          <w:rtl w:val="true"/>
        </w:rPr>
        <w:t>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להביא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בחשבון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הקשורות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המפורטות</w:t>
      </w:r>
      <w:r>
        <w:rPr>
          <w:rFonts w:cs="Times New Roman"/>
          <w:spacing w:val="22"/>
          <w:rtl w:val="true"/>
        </w:rPr>
        <w:t xml:space="preserve"> </w:t>
      </w:r>
      <w:hyperlink r:id="rId17">
        <w:r>
          <w:rPr>
            <w:rStyle w:val="Hyperlink"/>
            <w:color w:val="0000FF"/>
            <w:spacing w:val="22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40</w:t>
        </w:r>
        <w:r>
          <w:rPr>
            <w:rStyle w:val="Hyperlink"/>
            <w:color w:val="0000FF"/>
            <w:spacing w:val="22"/>
            <w:u w:val="single"/>
            <w:rtl w:val="true"/>
          </w:rPr>
          <w:t>ט</w:t>
        </w:r>
        <w:r>
          <w:rPr>
            <w:rStyle w:val="Hyperlink"/>
            <w:color w:val="0000FF"/>
            <w:spacing w:val="22"/>
            <w:u w:val="single"/>
            <w:rtl w:val="true"/>
          </w:rPr>
          <w:t>'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לחוק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  <w:tab/>
      </w:r>
      <w:r>
        <w:rPr>
          <w:spacing w:val="22"/>
          <w:rtl w:val="true"/>
        </w:rPr>
        <w:t>מעשיו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חמורים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המסוגלים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תחמושת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ובכוחם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להמית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הערך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שנפגע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הציבור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ובטחונו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מידת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אשמו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רבה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שנפגש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שיתכן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ביניים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בשרשרת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חלקו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משמעותי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הנזק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הצפוי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רב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ושלט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יכול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להימנע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המעשים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  <w:tab/>
      </w:r>
      <w:r>
        <w:rPr>
          <w:spacing w:val="22"/>
          <w:rtl w:val="true"/>
        </w:rPr>
        <w:t>המתחם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הראוי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העניין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עט</w:t>
      </w:r>
      <w:r>
        <w:rPr>
          <w:spacing w:val="22"/>
          <w:rtl w:val="true"/>
        </w:rPr>
        <w:t xml:space="preserve">" </w:t>
      </w:r>
      <w:r>
        <w:rPr>
          <w:spacing w:val="22"/>
          <w:rtl w:val="true"/>
        </w:rPr>
        <w:t>ואין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מחוברת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מחסנית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  <w:rtl w:val="true"/>
        </w:rPr>
        <w:t>אלא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היכולת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כדור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בודד</w:t>
      </w:r>
      <w:r>
        <w:rPr>
          <w:spacing w:val="22"/>
          <w:rtl w:val="true"/>
        </w:rPr>
        <w:t xml:space="preserve">),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לתקופת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6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הכלל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הבסיסי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העדפת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האינטרס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הציבורי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האינטרס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האישי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סחר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בלתי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חוקי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לפתוח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לפעילות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אלימה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ובלתי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חוקית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להגיע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לידיים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רעות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שיקולי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שיקום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ככלל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נסוגים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מפני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שיקולי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הגמול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וההרתעה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כמובן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לשקול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ולבחון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לגופו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spacing w:val="22"/>
          <w:sz w:val="18"/>
          <w:szCs w:val="18"/>
        </w:rPr>
      </w:pPr>
      <w:r>
        <w:rPr>
          <w:spacing w:val="22"/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7</w:t>
      </w:r>
      <w:r>
        <w:rPr>
          <w:spacing w:val="22"/>
          <w:rtl w:val="true"/>
        </w:rPr>
        <w:t>.</w:t>
      </w:r>
      <w:r>
        <w:rPr>
          <w:spacing w:val="22"/>
          <w:rtl w:val="true"/>
        </w:rPr>
        <w:tab/>
      </w:r>
      <w:r>
        <w:rPr>
          <w:spacing w:val="22"/>
          <w:rtl w:val="true"/>
        </w:rPr>
        <w:t>לזכות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לזקוף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גילו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  <w:rtl w:val="true"/>
        </w:rPr>
        <w:t>כאמור</w:t>
      </w:r>
      <w:r>
        <w:rPr>
          <w:spacing w:val="22"/>
          <w:rtl w:val="true"/>
        </w:rPr>
        <w:t xml:space="preserve">, </w:t>
      </w:r>
      <w:r>
        <w:rPr>
          <w:spacing w:val="22"/>
        </w:rPr>
        <w:t>58</w:t>
      </w:r>
      <w:r>
        <w:rPr>
          <w:spacing w:val="22"/>
          <w:rtl w:val="true"/>
        </w:rPr>
        <w:t xml:space="preserve">), </w:t>
      </w:r>
      <w:r>
        <w:rPr>
          <w:spacing w:val="22"/>
          <w:rtl w:val="true"/>
        </w:rPr>
        <w:t>ולצד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העדר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הרשעות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הודאתו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העובדה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עט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יורה</w:t>
      </w:r>
      <w:r>
        <w:rPr>
          <w:spacing w:val="22"/>
          <w:rtl w:val="true"/>
        </w:rPr>
        <w:t xml:space="preserve">" </w:t>
      </w:r>
      <w:r>
        <w:rPr>
          <w:spacing w:val="22"/>
          <w:rtl w:val="true"/>
        </w:rPr>
        <w:t>ולא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משחית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יותר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תחילת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צעדיו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בהליך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השיקומי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וניסיונו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המוצלח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הזו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להיחלץ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מההתמכרות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להימורים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8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שקלול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הנתונים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המפורטים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לעל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שאני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מביא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בחשבון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העובדה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תקופה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כחודשיים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במעצר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ממש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מוליך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שאני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גוזר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כלהלן</w:t>
      </w:r>
      <w:r>
        <w:rPr>
          <w:spacing w:val="22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pacing w:val="22"/>
          <w:sz w:val="18"/>
          <w:szCs w:val="18"/>
        </w:rPr>
      </w:pPr>
      <w:r>
        <w:rPr>
          <w:spacing w:val="22"/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  <w:sz w:val="18"/>
          <w:szCs w:val="18"/>
        </w:rPr>
      </w:pPr>
      <w:r>
        <w:rPr>
          <w:spacing w:val="22"/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  <w:sz w:val="18"/>
          <w:szCs w:val="18"/>
        </w:rPr>
      </w:pPr>
      <w:r>
        <w:rPr>
          <w:spacing w:val="22"/>
          <w:sz w:val="18"/>
          <w:szCs w:val="1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pacing w:val="22"/>
        </w:rPr>
      </w:pPr>
      <w:r>
        <w:rPr>
          <w:spacing w:val="22"/>
          <w:rtl w:val="true"/>
        </w:rPr>
        <w:t>א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לתקופת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6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במידה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יימצא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מתאים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ירוצה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בדרך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עבודות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spacing w:val="22"/>
          <w:sz w:val="16"/>
          <w:szCs w:val="16"/>
        </w:rPr>
      </w:pPr>
      <w:r>
        <w:rPr>
          <w:spacing w:val="22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pacing w:val="22"/>
          <w:sz w:val="16"/>
          <w:szCs w:val="16"/>
        </w:rPr>
      </w:pPr>
      <w:r>
        <w:rPr>
          <w:spacing w:val="22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pacing w:val="22"/>
        </w:rPr>
      </w:pPr>
      <w:r>
        <w:rPr>
          <w:spacing w:val="22"/>
          <w:rtl w:val="true"/>
        </w:rPr>
        <w:t>ב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מותנה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לתקופת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6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והתנאי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יעבור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מסוג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פשע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שחרורו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ממאסר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spacing w:val="22"/>
          <w:sz w:val="16"/>
          <w:szCs w:val="16"/>
        </w:rPr>
      </w:pPr>
      <w:r>
        <w:rPr>
          <w:spacing w:val="22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pacing w:val="22"/>
          <w:sz w:val="16"/>
          <w:szCs w:val="16"/>
        </w:rPr>
      </w:pPr>
      <w:r>
        <w:rPr>
          <w:spacing w:val="22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pacing w:val="22"/>
        </w:rPr>
      </w:pPr>
      <w:r>
        <w:rPr>
          <w:spacing w:val="22"/>
          <w:rtl w:val="true"/>
        </w:rPr>
        <w:t>ג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קנס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כספי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בסך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10,000</w:t>
      </w:r>
      <w:r>
        <w:rPr>
          <w:spacing w:val="22"/>
          <w:rtl w:val="true"/>
        </w:rPr>
        <w:t xml:space="preserve"> </w:t>
      </w:r>
      <w:r>
        <w:rPr>
          <w:rFonts w:eastAsia="David" w:ascii="David" w:hAnsi="David"/>
          <w:spacing w:val="22"/>
          <w:rtl w:val="true"/>
        </w:rPr>
        <w:t>₪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80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ימי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תמורתם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הקנס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ישולם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1/10/18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  <w:sz w:val="18"/>
          <w:szCs w:val="18"/>
        </w:rPr>
      </w:pPr>
      <w:r>
        <w:rPr>
          <w:spacing w:val="22"/>
          <w:sz w:val="18"/>
          <w:szCs w:val="1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pacing w:val="22"/>
        </w:rPr>
      </w:pPr>
      <w:r>
        <w:rPr>
          <w:rFonts w:ascii="Arial" w:hAnsi="Arial" w:cs="Arial"/>
          <w:spacing w:val="22"/>
          <w:rtl w:val="true"/>
        </w:rPr>
        <w:t>ניתן היום</w:t>
      </w:r>
      <w:r>
        <w:rPr>
          <w:rFonts w:cs="Arial" w:ascii="Arial" w:hAnsi="Arial"/>
          <w:spacing w:val="22"/>
          <w:rtl w:val="true"/>
        </w:rPr>
        <w:t xml:space="preserve">,  </w:t>
      </w:r>
      <w:r>
        <w:rPr>
          <w:rFonts w:ascii="Arial" w:hAnsi="Arial" w:cs="Arial"/>
          <w:spacing w:val="22"/>
          <w:rtl w:val="true"/>
        </w:rPr>
        <w:t>כ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ג אלול תשע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ח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cs="Arial" w:ascii="Arial" w:hAnsi="Arial"/>
          <w:spacing w:val="22"/>
        </w:rPr>
        <w:t>03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ספטמבר </w:t>
      </w:r>
      <w:r>
        <w:rPr>
          <w:rFonts w:cs="Arial" w:ascii="Arial" w:hAnsi="Arial"/>
          <w:spacing w:val="22"/>
        </w:rPr>
        <w:t>2018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במעמד ב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כ המאשימה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כ הנאשם והנאשם בעצמו</w:t>
      </w:r>
      <w:r>
        <w:rPr>
          <w:rFonts w:cs="Arial" w:ascii="Arial" w:hAnsi="Arial"/>
          <w:spacing w:val="22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pacing w:val="22"/>
        </w:rPr>
      </w:pP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זכות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ערעור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משפט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העליון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45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מהיום</w:t>
      </w:r>
      <w:r>
        <w:rPr>
          <w:spacing w:val="22"/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color w:val="FFFFFF"/>
          <w:spacing w:val="22"/>
          <w:sz w:val="2"/>
          <w:szCs w:val="2"/>
        </w:rPr>
      </w:pPr>
      <w:r>
        <w:rPr>
          <w:rFonts w:cs="Arial" w:ascii="Arial" w:hAnsi="Arial"/>
          <w:color w:val="FFFFFF"/>
          <w:spacing w:val="22"/>
          <w:sz w:val="2"/>
          <w:szCs w:val="2"/>
        </w:rPr>
        <w:t>5129371</w:t>
      </w:r>
    </w:p>
    <w:tbl>
      <w:tblPr>
        <w:bidiVisual w:val="true"/>
        <w:tblW w:w="754" w:type="dxa"/>
        <w:jc w:val="start"/>
        <w:tblInd w:w="252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54"/>
      </w:tblGrid>
      <w:tr>
        <w:trPr/>
        <w:tc>
          <w:tcPr>
            <w:tcW w:w="7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75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רפי כרמל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31661-09-17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יואב גלאם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b" TargetMode="External"/><Relationship Id="rId9" Type="http://schemas.openxmlformats.org/officeDocument/2006/relationships/hyperlink" Target="http://www.nevo.co.il/law/70301/40c" TargetMode="External"/><Relationship Id="rId10" Type="http://schemas.openxmlformats.org/officeDocument/2006/relationships/hyperlink" Target="http://www.nevo.co.il/law/70301/40i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b" TargetMode="External"/><Relationship Id="rId15" Type="http://schemas.openxmlformats.org/officeDocument/2006/relationships/hyperlink" Target="http://www.nevo.co.il/law/70301/40c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i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2019-03-24T14:28:00Z</dcterms:created>
  <dc:creator> </dc:creator>
  <dc:description/>
  <cp:keywords/>
  <dc:language>en-IL</dc:language>
  <cp:lastModifiedBy>run</cp:lastModifiedBy>
  <dcterms:modified xsi:type="dcterms:W3CDTF">2019-03-24T14:28:00Z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יואב גלאם;פנחס גלאם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20180903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רפי כרמל</vt:lpwstr>
  </property>
  <property fmtid="{D5CDD505-2E9C-101B-9397-08002B2CF9AE}" pid="13" name="LAWLISTTMP1">
    <vt:lpwstr>70301/040b;040c;040i;144.b2</vt:lpwstr>
  </property>
  <property fmtid="{D5CDD505-2E9C-101B-9397-08002B2CF9AE}" pid="14" name="LAWYER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31661</vt:lpwstr>
  </property>
  <property fmtid="{D5CDD505-2E9C-101B-9397-08002B2CF9AE}" pid="21" name="NEWPARTB">
    <vt:lpwstr>09</vt:lpwstr>
  </property>
  <property fmtid="{D5CDD505-2E9C-101B-9397-08002B2CF9AE}" pid="22" name="NEWPARTC">
    <vt:lpwstr>17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390020180903</vt:lpwstr>
  </property>
  <property fmtid="{D5CDD505-2E9C-101B-9397-08002B2CF9AE}" pid="33" name="TYPE_N_DATE">
    <vt:lpwstr>39020180903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