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31811-03-21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אלמלח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שלום שי אלמלח מלכה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bookmarkStart w:id="7" w:name="ABSTRACT_START"/>
      <w:bookmarkEnd w:id="7"/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bookmarkStart w:id="8" w:name="ABSTRACT_END"/>
      <w:bookmarkEnd w:id="8"/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ascii="Miriam" w:hAnsi="Miriam" w:cs="Miriam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cs="Miriam" w:ascii="Miriam" w:hAnsi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3/3/21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2:20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האני</w:t>
      </w:r>
      <w:r>
        <w:rPr>
          <w:rtl w:val="true"/>
        </w:rPr>
        <w:t xml:space="preserve">),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פולקסווגן</w:t>
      </w:r>
      <w:r>
        <w:rPr>
          <w:rtl w:val="true"/>
        </w:rPr>
        <w:t xml:space="preserve">",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, </w:t>
      </w:r>
      <w:r>
        <w:rPr>
          <w:rtl w:val="true"/>
        </w:rPr>
        <w:t>כשהאני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>-</w:t>
      </w:r>
      <w:r>
        <w:rPr>
          <w:rtl w:val="true"/>
        </w:rPr>
        <w:t>ימני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ולהובלתם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דלק</w:t>
      </w:r>
      <w:r>
        <w:rPr>
          <w:rtl w:val="true"/>
        </w:rPr>
        <w:t xml:space="preserve">" </w:t>
      </w:r>
      <w:r>
        <w:rPr>
          <w:rtl w:val="true"/>
        </w:rPr>
        <w:t>שבכפר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מהבהבים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הניידת הראשונה</w:t>
      </w:r>
      <w:r>
        <w:rPr>
          <w:rtl w:val="true"/>
        </w:rPr>
        <w:t xml:space="preserve">),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גלויה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הניידת השנייה</w:t>
      </w:r>
      <w:r>
        <w:rPr>
          <w:rtl w:val="true"/>
        </w:rPr>
        <w:t xml:space="preserve">)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2:22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tl w:val="true"/>
        </w:rPr>
        <w:t xml:space="preserve">,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ascii="Miriam" w:hAnsi="Miriam" w:cs="Miriam"/>
          <w:b/>
          <w:b/>
          <w:bCs/>
          <w:u w:val="single"/>
          <w:rtl w:val="true"/>
        </w:rPr>
        <w:t>הראיות לעונש וטיעוני הצדדים לעונש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cs="Miriam" w:ascii="Miriam" w:hAnsi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י</w:t>
      </w:r>
      <w:r>
        <w:rPr>
          <w:rtl w:val="true"/>
        </w:rPr>
        <w:t>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ו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16/6/21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מוקיע</w:t>
      </w:r>
      <w:r>
        <w:rPr>
          <w:rtl w:val="true"/>
        </w:rPr>
        <w:t xml:space="preserve">, </w:t>
      </w:r>
      <w:r>
        <w:rPr>
          <w:rtl w:val="true"/>
        </w:rPr>
        <w:t>מתריע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ומוחלט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tl w:val="true"/>
        </w:rPr>
        <w:t xml:space="preserve">. </w:t>
      </w:r>
      <w:r>
        <w:rPr>
          <w:rtl w:val="true"/>
        </w:rPr>
        <w:t>לענ</w:t>
      </w:r>
      <w:r>
        <w:rPr>
          <w:rtl w:val="true"/>
        </w:rPr>
        <w:t>י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4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</w:t>
      </w:r>
      <w:r>
        <w:rPr>
          <w:rtl w:val="true"/>
        </w:rPr>
        <w:t>י</w:t>
      </w:r>
      <w:r>
        <w:rPr>
          <w:rtl w:val="true"/>
        </w:rPr>
        <w:t>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16/6/21</w:t>
      </w:r>
      <w:r>
        <w:rPr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פלוני נ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הער</w:t>
      </w:r>
      <w:r>
        <w:rPr>
          <w:rtl w:val="true"/>
        </w:rPr>
        <w:t>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</w:t>
      </w:r>
      <w:r>
        <w:rPr>
          <w:rtl w:val="true"/>
        </w:rPr>
        <w:t>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מהיקפם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</w:t>
      </w:r>
      <w:r>
        <w:rPr>
          <w:rtl w:val="true"/>
        </w:rPr>
        <w:t>"</w:t>
      </w:r>
      <w:r>
        <w:rPr>
          <w:rFonts w:ascii="Miriam" w:hAnsi="Miriam" w:cs="Miriam"/>
          <w:rtl w:val="true"/>
        </w:rPr>
        <w:t>עבירות בנשק לסוגיהן מגלמות בתוכן סיכון ממשי לשלום הציבור ולביטחונו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שכן לא ניתן לדעת להיכן יתגלגלו כלי הנשק המוחזקים שלא כדין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ואיזה שימוש יעשה בהם בעתיד</w:t>
      </w:r>
      <w:r>
        <w:rPr>
          <w:rtl w:val="true"/>
        </w:rPr>
        <w:t>" 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ascii="Miriam" w:hAnsi="Miriam" w:cs="Miriam"/>
          <w:rtl w:val="true"/>
        </w:rPr>
        <w:t>כוויס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עבד אלכרים סלימאן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19.01.14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עניין סלימאן</w:t>
      </w:r>
      <w:r>
        <w:rPr>
          <w:rtl w:val="true"/>
        </w:rPr>
        <w:t xml:space="preserve">) </w:t>
      </w:r>
      <w:r>
        <w:rPr>
          <w:rtl w:val="true"/>
        </w:rPr>
        <w:t>ממחישים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: </w:t>
      </w:r>
      <w:r>
        <w:rPr>
          <w:rFonts w:cs="Miriam" w:ascii="Miriam" w:hAnsi="Miriam"/>
          <w:rtl w:val="true"/>
        </w:rPr>
        <w:t>"...</w:t>
      </w:r>
      <w:r>
        <w:rPr>
          <w:rFonts w:ascii="Miriam" w:hAnsi="Miriam" w:cs="Miriam"/>
          <w:rtl w:val="true"/>
        </w:rPr>
        <w:t>עבירות המבוצעות בנשק – לרבות רכישה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Miriam" w:ascii="Miriam" w:hAnsi="Miriam"/>
          <w:rtl w:val="true"/>
        </w:rPr>
        <w:t xml:space="preserve">...".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ascii="David" w:hAnsi="David"/>
          <w:spacing w:val="10"/>
          <w:rtl w:val="true"/>
        </w:rPr>
        <w:t>כתוארו אז</w:t>
      </w:r>
      <w:r>
        <w:rPr>
          <w:rFonts w:cs="David" w:ascii="David" w:hAnsi="David"/>
          <w:spacing w:val="10"/>
          <w:rtl w:val="true"/>
        </w:rPr>
        <w:t xml:space="preserve">) </w:t>
      </w:r>
      <w:r>
        <w:rPr>
          <w:rFonts w:ascii="David" w:hAnsi="David"/>
          <w:spacing w:val="10"/>
          <w:rtl w:val="true"/>
        </w:rPr>
        <w:t xml:space="preserve">שנאמרו זה מכבר </w:t>
      </w:r>
      <w:r>
        <w:rPr>
          <w:rFonts w:ascii="David" w:hAnsi="David"/>
          <w:spacing w:val="10"/>
          <w:rtl w:val="true"/>
        </w:rPr>
        <w:t>ב</w:t>
      </w:r>
      <w:r>
        <w:rPr>
          <w:rFonts w:cs="David" w:ascii="David" w:hAnsi="David"/>
          <w:spacing w:val="10"/>
          <w:rtl w:val="true"/>
        </w:rPr>
        <w:t>-</w:t>
      </w:r>
      <w:hyperlink r:id="rId19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5220/09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Miriam" w:hAnsi="Miriam" w:cs="Miriam"/>
          <w:rtl w:val="true"/>
        </w:rPr>
        <w:t>עוואודה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cs="David" w:ascii="David" w:hAnsi="David"/>
          <w:spacing w:val="10"/>
        </w:rPr>
        <w:t>30.12.2009</w:t>
      </w:r>
      <w:r>
        <w:rPr>
          <w:rFonts w:cs="David" w:ascii="David" w:hAnsi="David"/>
          <w:spacing w:val="10"/>
          <w:rtl w:val="true"/>
        </w:rPr>
        <w:t>):</w:t>
      </w:r>
      <w:r>
        <w:rPr>
          <w:rFonts w:cs="Miriam" w:ascii="Miriam" w:hAnsi="Miriam"/>
          <w:color w:val="000000"/>
          <w:spacing w:val="10"/>
          <w:rtl w:val="true"/>
        </w:rPr>
        <w:t>"</w:t>
      </w:r>
      <w:r>
        <w:rPr>
          <w:rFonts w:ascii="Miriam" w:hAnsi="Miriam" w:cs="Miriam"/>
          <w:color w:val="000000"/>
          <w:spacing w:val="10"/>
          <w:rtl w:val="true"/>
        </w:rPr>
        <w:t>דרך המלך בכגון דא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בסופו של יום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צריכה להיות ככלל מאסר מאחורי סורג ובריח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וזאת בראש וראשונה להרתעת היחיד והרבים</w:t>
      </w:r>
      <w:r>
        <w:rPr>
          <w:rFonts w:cs="Miriam" w:ascii="Miriam" w:hAnsi="Miriam"/>
          <w:color w:val="000000"/>
          <w:spacing w:val="10"/>
          <w:rtl w:val="true"/>
        </w:rPr>
        <w:t xml:space="preserve">; </w:t>
      </w:r>
      <w:r>
        <w:rPr>
          <w:rFonts w:ascii="Miriam" w:hAnsi="Miriam" w:cs="Miriam"/>
          <w:color w:val="000000"/>
          <w:spacing w:val="10"/>
          <w:rtl w:val="true"/>
        </w:rPr>
        <w:t>אורך התקופה כרוך כמובן בנסיבות הספציפיות של העושה והמעשה</w:t>
      </w:r>
      <w:r>
        <w:rPr>
          <w:rFonts w:cs="Miriam" w:ascii="Miriam" w:hAnsi="Miriam"/>
          <w:color w:val="000000"/>
          <w:spacing w:val="10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rtl w:val="true"/>
        </w:rPr>
        <w:t>אכן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ערים אנו לכך שלאדם בעל רקע נורמטיבי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וכזה הוא המערער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שהות במאסר אינה קלה כל עיקר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ובהיותו במעצר חווה מקצת הטעם</w:t>
      </w:r>
      <w:r>
        <w:rPr>
          <w:rFonts w:cs="Miriam" w:ascii="Miriam" w:hAnsi="Miriam"/>
          <w:color w:val="000000"/>
          <w:spacing w:val="10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rtl w:val="true"/>
        </w:rPr>
        <w:t>אך נשק הוא נשק הוא נשק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ובנסיבות הישראליות נשק בידיים לא מורשות עלול להתגלגל למקום לא טוב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 xml:space="preserve">וכדברי האומר </w:t>
      </w:r>
      <w:r>
        <w:rPr>
          <w:rFonts w:cs="Miriam" w:ascii="Miriam" w:hAnsi="Miriam"/>
          <w:color w:val="000000"/>
          <w:spacing w:val="10"/>
          <w:rtl w:val="true"/>
        </w:rPr>
        <w:t>'</w:t>
      </w:r>
      <w:r>
        <w:rPr>
          <w:rFonts w:ascii="Miriam" w:hAnsi="Miriam" w:cs="Miriam"/>
          <w:color w:val="000000"/>
          <w:spacing w:val="10"/>
          <w:rtl w:val="true"/>
        </w:rPr>
        <w:t>מחזה שבמערכתו הראשונה נראה אקדח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עשוי האקדח לירות במערכה האחרונה</w:t>
      </w:r>
      <w:r>
        <w:rPr>
          <w:rFonts w:cs="Miriam" w:ascii="Miriam" w:hAnsi="Miriam"/>
          <w:color w:val="000000"/>
          <w:spacing w:val="10"/>
          <w:rtl w:val="true"/>
        </w:rPr>
        <w:t>'".</w:t>
      </w:r>
    </w:p>
    <w:p>
      <w:pPr>
        <w:pStyle w:val="ruller4"/>
        <w:bidi w:val="1"/>
        <w:spacing w:before="0" w:after="0"/>
        <w:ind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cs="Arial TUR;Arial" w:ascii="Arial TUR;Arial" w:hAnsi="Arial TUR;Arial"/>
          <w:color w:val="000000"/>
          <w:spacing w:val="1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בענייננו יפה גם כוחם של הדברים שנאמרו 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אזברגה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18/7/19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אזברגה</w:t>
      </w:r>
      <w:r>
        <w:rPr>
          <w:rFonts w:cs="David" w:ascii="David" w:hAnsi="David"/>
          <w:rtl w:val="true"/>
        </w:rPr>
        <w:t>):</w:t>
      </w:r>
    </w:p>
    <w:p>
      <w:pPr>
        <w:pStyle w:val="ruller4"/>
        <w:bidi w:val="1"/>
        <w:spacing w:lineRule="atLeast" w:line="330" w:before="0" w:after="0"/>
        <w:ind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 w:ascii="David" w:hAnsi="David"/>
          <w:color w:val="000000"/>
          <w:spacing w:val="10"/>
          <w:rtl w:val="true"/>
        </w:rPr>
        <w:t>"</w:t>
      </w:r>
      <w:r>
        <w:rPr>
          <w:rFonts w:ascii="Miriam" w:hAnsi="Miriam" w:cs="Miriam"/>
          <w:color w:val="000000"/>
          <w:spacing w:val="10"/>
          <w:rtl w:val="true"/>
        </w:rPr>
        <w:t>בית משפט זה עמד בשורה ארוכה של פסקי דין על חומרתן הרבה של עבירות הנשק ועל הסכנה הגבוהה במיוחד לשלום הציבור וביטחונו הטמונה בנשיאה והחזקה של נשק</w:t>
      </w:r>
      <w:r>
        <w:rPr>
          <w:rFonts w:cs="Miriam" w:ascii="Miriam" w:hAnsi="Miriam"/>
          <w:color w:val="000000"/>
          <w:spacing w:val="10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cs="Miriam" w:ascii="Miriam" w:hAnsi="Miriam"/>
          <w:color w:val="000000"/>
          <w:spacing w:val="10"/>
          <w:rtl w:val="true"/>
        </w:rPr>
        <w:t>...</w:t>
      </w:r>
      <w:r>
        <w:rPr>
          <w:rFonts w:ascii="Miriam" w:hAnsi="Miriam" w:cs="Miriam"/>
          <w:color w:val="000000"/>
          <w:spacing w:val="10"/>
          <w:rtl w:val="true"/>
        </w:rPr>
        <w:t>בפסיקה מגמת החמרה ברמת הענישה של המעורבים בעבירות נשק תוך מתן ביטוי עונשי הולם לסכנה הנשקפת מהן</w:t>
      </w:r>
      <w:r>
        <w:rPr>
          <w:rFonts w:cs="Miriam" w:ascii="Miriam" w:hAnsi="Miriam"/>
          <w:color w:val="000000"/>
          <w:spacing w:val="10"/>
          <w:rtl w:val="true"/>
        </w:rPr>
        <w:t xml:space="preserve">; </w:t>
      </w:r>
      <w:r>
        <w:rPr>
          <w:rFonts w:ascii="Miriam" w:hAnsi="Miriam" w:cs="Miriam"/>
          <w:color w:val="000000"/>
          <w:spacing w:val="10"/>
          <w:rtl w:val="true"/>
        </w:rPr>
        <w:t>וזאת במטרה להרתיע את היחיד והרבים גם יחד מפני ביצוען</w:t>
      </w:r>
      <w:r>
        <w:rPr>
          <w:rFonts w:cs="Miriam" w:ascii="Miriam" w:hAnsi="Miriam"/>
          <w:color w:val="000000"/>
          <w:spacing w:val="10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rtl w:val="true"/>
        </w:rPr>
        <w:t>ברירת המחדל בעבירות נשק היא אפוא מאסר בפועל גם כאשר הנאשם נעדר עבר פלילי כבענייננו</w:t>
      </w:r>
      <w:r>
        <w:rPr>
          <w:rFonts w:cs="David" w:ascii="David" w:hAnsi="David"/>
          <w:color w:val="000000"/>
          <w:spacing w:val="10"/>
          <w:rtl w:val="true"/>
        </w:rPr>
        <w:t>".</w:t>
      </w:r>
    </w:p>
    <w:p>
      <w:pPr>
        <w:pStyle w:val="ruller4"/>
        <w:bidi w:val="1"/>
        <w:spacing w:lineRule="atLeast" w:line="330" w:before="0" w:after="0"/>
        <w:ind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 w:ascii="David" w:hAnsi="David"/>
          <w:color w:val="000000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: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להמחשת מדיניות הענישה בעבירות נשק שעניינן נשיאת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תובא הפסיקה הבאה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bidi w:val="1"/>
        <w:spacing w:lineRule="atLeast" w:line="330" w:before="0" w:after="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ascii="Miriam" w:hAnsi="Miriam" w:cs="Miriam"/>
          <w:rtl w:val="true"/>
        </w:rPr>
        <w:t xml:space="preserve">עניין אזברגה </w:t>
      </w:r>
      <w:r>
        <w:rPr>
          <w:rFonts w:ascii="David" w:hAnsi="David" w:cs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 נדחה ערעורו של נאשם בעל עבר נקי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מכוח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spacing w:val="10"/>
          <w:rtl w:val="true"/>
        </w:rPr>
        <w:t xml:space="preserve">בעבירה של נשיאת נשק לפי </w:t>
      </w:r>
      <w:hyperlink r:id="rId21">
        <w:r>
          <w:rPr>
            <w:rStyle w:val="Hyperlink"/>
            <w:rFonts w:ascii="David" w:hAnsi="David" w:cs="David"/>
            <w:spacing w:val="10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pacing w:val="10"/>
          </w:rPr>
          <w:t>144</w:t>
        </w:r>
        <w:r>
          <w:rPr>
            <w:rStyle w:val="Hyperlink"/>
            <w:rFonts w:cs="David" w:ascii="David" w:hAnsi="David"/>
            <w:spacing w:val="10"/>
            <w:rtl w:val="true"/>
          </w:rPr>
          <w:t>(</w:t>
        </w:r>
        <w:r>
          <w:rPr>
            <w:rStyle w:val="Hyperlink"/>
            <w:rFonts w:ascii="David" w:hAnsi="David" w:cs="David"/>
            <w:spacing w:val="10"/>
            <w:rtl w:val="true"/>
          </w:rPr>
          <w:t>ב</w:t>
        </w:r>
        <w:r>
          <w:rPr>
            <w:rStyle w:val="Hyperlink"/>
            <w:rFonts w:cs="David" w:ascii="David" w:hAnsi="David"/>
            <w:spacing w:val="10"/>
            <w:rtl w:val="true"/>
          </w:rPr>
          <w:t>)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 w:cs="David"/>
          <w:spacing w:val="10"/>
          <w:rtl w:val="true"/>
        </w:rPr>
        <w:t>ל</w:t>
      </w:r>
      <w:hyperlink r:id="rId22">
        <w:r>
          <w:rPr>
            <w:rStyle w:val="Hyperlink"/>
            <w:rFonts w:ascii="David" w:hAnsi="David" w:cs="David"/>
            <w:color w:val="0000FF"/>
            <w:spacing w:val="10"/>
            <w:u w:val="single"/>
            <w:rtl w:val="true"/>
          </w:rPr>
          <w:t>חוק העונשין</w:t>
        </w:r>
      </w:hyperlink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 w:cs="David"/>
          <w:spacing w:val="10"/>
          <w:rtl w:val="true"/>
        </w:rPr>
        <w:t>התשל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David" w:hAnsi="David" w:cs="David"/>
          <w:spacing w:val="10"/>
          <w:rtl w:val="true"/>
        </w:rPr>
        <w:t>ז</w:t>
      </w:r>
      <w:r>
        <w:rPr>
          <w:rFonts w:cs="David" w:ascii="David" w:hAnsi="David"/>
          <w:spacing w:val="10"/>
          <w:rtl w:val="true"/>
        </w:rPr>
        <w:t>-</w:t>
      </w:r>
      <w:r>
        <w:rPr>
          <w:rFonts w:cs="David" w:ascii="David" w:hAnsi="David"/>
          <w:spacing w:val="10"/>
        </w:rPr>
        <w:t>1977</w:t>
      </w:r>
      <w:r>
        <w:rPr>
          <w:rFonts w:cs="David" w:ascii="David" w:hAnsi="David"/>
          <w:spacing w:val="10"/>
          <w:rtl w:val="true"/>
        </w:rPr>
        <w:t xml:space="preserve"> (</w:t>
      </w:r>
      <w:r>
        <w:rPr>
          <w:rFonts w:ascii="David" w:hAnsi="David" w:cs="David"/>
          <w:spacing w:val="10"/>
          <w:rtl w:val="true"/>
        </w:rPr>
        <w:t>נשיאת אקדח ומחסנית תואמת במשך זמן קצר</w:t>
      </w:r>
      <w:r>
        <w:rPr>
          <w:rFonts w:cs="David" w:ascii="David" w:hAnsi="David"/>
          <w:spacing w:val="10"/>
          <w:rtl w:val="true"/>
        </w:rPr>
        <w:t xml:space="preserve">) </w:t>
      </w:r>
      <w:r>
        <w:rPr>
          <w:rFonts w:ascii="David" w:hAnsi="David" w:cs="David"/>
          <w:spacing w:val="10"/>
          <w:rtl w:val="true"/>
        </w:rPr>
        <w:t xml:space="preserve">ונדון לעונש של </w:t>
      </w:r>
      <w:r>
        <w:rPr>
          <w:rFonts w:cs="David" w:ascii="David" w:hAnsi="David"/>
          <w:spacing w:val="10"/>
        </w:rPr>
        <w:t>16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 w:cs="David"/>
          <w:spacing w:val="10"/>
          <w:rtl w:val="true"/>
        </w:rPr>
        <w:t>חודשי מאסר בפועל ולעונש של מאסר מותנה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מתחם העונש ההולם שנקבע בערכאה הדיונית נע בין </w:t>
      </w:r>
      <w:r>
        <w:rPr>
          <w:rFonts w:cs="David" w:ascii="David" w:hAnsi="David"/>
        </w:rPr>
        <w:t>40-12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tLeast" w:line="330"/>
        <w:ind w:start="28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bidi w:val="1"/>
        <w:spacing w:lineRule="atLeast" w:line="330" w:before="0" w:after="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hyperlink r:id="rId2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Miriam" w:hAnsi="Miriam" w:cs="Miriam"/>
          <w:rtl w:val="true"/>
        </w:rPr>
        <w:t>עומר סער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03.07.2017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מכוח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בגין נשיאת אקדח בצוותא באמצעות אופנוע וכן נהיגה בקלות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דעת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 w:cs="David"/>
          <w:rtl w:val="true"/>
        </w:rPr>
        <w:t xml:space="preserve">בית המשפט העליון קיבל את ערעורו של הנאשם וגזר עליו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בפועל חלף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החודשים שגזר עליו בית המשפט המחוזי תוך שנקבע מתחם עונש הולם שנע בין </w:t>
      </w:r>
      <w:r>
        <w:rPr>
          <w:rFonts w:cs="David" w:ascii="David" w:hAnsi="David"/>
        </w:rPr>
        <w:t>54-28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bidi w:val="1"/>
        <w:spacing w:lineRule="atLeast" w:line="330" w:before="0" w:after="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bidi w:val="1"/>
        <w:spacing w:lineRule="atLeast" w:line="330" w:before="0" w:after="0"/>
        <w:ind w:hanging="360" w:start="1069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hyperlink r:id="rId2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61106-05-20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עבד אל גני </w:t>
      </w:r>
      <w:r>
        <w:rPr>
          <w:rFonts w:cs="David" w:ascii="David" w:hAnsi="David"/>
          <w:rtl w:val="true"/>
        </w:rPr>
        <w:t>((</w:t>
      </w:r>
      <w:r>
        <w:rPr>
          <w:rFonts w:cs="David" w:ascii="David" w:hAnsi="David"/>
        </w:rPr>
        <w:t>24/5/21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נגזר </w:t>
      </w:r>
      <w:r>
        <w:rPr>
          <w:rFonts w:ascii="David" w:hAnsi="David" w:cs="David"/>
          <w:rtl w:val="true"/>
        </w:rPr>
        <w:t xml:space="preserve">לאחרונה </w:t>
      </w:r>
      <w:r>
        <w:rPr>
          <w:rFonts w:ascii="David" w:hAnsi="David" w:cs="David"/>
          <w:rtl w:val="true"/>
        </w:rPr>
        <w:t xml:space="preserve">עונש של מאסר בפועל למשך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ומאסר מותנה על נאשם בעל עבר נקי שהורשע מכוח הודאתו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נשיאה והובלה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אותו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נשא והוביל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בלא רשות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אקדח חצי אוטומטי מסוג יריחו ובתוכו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הוחזק בשקית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מתחת למכסה המנוע ברכב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bidi w:val="1"/>
        <w:spacing w:lineRule="atLeast" w:line="330" w:before="0" w:after="0"/>
        <w:ind w:start="1080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0"/>
        <w:ind w:hanging="360" w:start="1069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hyperlink r:id="rId2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31862-05-13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מוחמד מחאמיד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1/10/13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הוטל על 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בן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עונש של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בפועל בגין עבירה של נשיאת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שלא כדין לצד עבירה של הפרעה לשוטר בשעת מילוי תפקידו כדין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tLeast" w:line="330"/>
        <w:ind w:end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שבחנתי כאמור את הערכים החברתיים שנפגעו כתוצאה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 ביצועה ואת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הפסיקה אליה הפנה כל אחד מהצדדים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הגעתי לכלל מסקנה כי מתחם העונש ההולם בתיק זה נע בין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הנסיבות שאינן קשורות בביצוע העבירה אציין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לטובת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הודאתו בהזדמנות הראשונה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חסכה את העדת העדים בתיק זה וכן חסכה מזמנו היקר של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לכך אוסיף לקול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את נסיבותיו האישיות הקשות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שנטען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שהינו </w:t>
      </w:r>
      <w:r>
        <w:rPr>
          <w:rFonts w:ascii="David" w:hAnsi="David"/>
          <w:rtl w:val="true"/>
        </w:rPr>
        <w:t xml:space="preserve">כאמור </w:t>
      </w:r>
      <w:r>
        <w:rPr>
          <w:rFonts w:ascii="David" w:hAnsi="David"/>
          <w:rtl w:val="true"/>
        </w:rPr>
        <w:t xml:space="preserve">אך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אציין את עברו הפלילי הכולל בחובו אמנם רק שני רישומים פליליים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עסקינן ברישומים בגין עבירות רכוש רבות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אלימות ו</w:t>
      </w:r>
      <w:r>
        <w:rPr>
          <w:rFonts w:ascii="David" w:hAnsi="David"/>
          <w:rtl w:val="true"/>
        </w:rPr>
        <w:t xml:space="preserve">שתי עבירות של </w:t>
      </w:r>
      <w:r>
        <w:rPr>
          <w:rFonts w:ascii="David" w:hAnsi="David"/>
          <w:rtl w:val="true"/>
        </w:rPr>
        <w:t>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כאן אציין </w:t>
      </w:r>
      <w:r>
        <w:rPr>
          <w:rFonts w:ascii="David" w:hAnsi="David"/>
          <w:rtl w:val="true"/>
        </w:rPr>
        <w:t xml:space="preserve">לחומרה </w:t>
      </w:r>
      <w:r>
        <w:rPr>
          <w:rFonts w:ascii="David" w:hAnsi="David"/>
          <w:rtl w:val="true"/>
        </w:rPr>
        <w:t xml:space="preserve">כי הנאשם נדון בגין הרשעתו מיום </w:t>
      </w:r>
      <w:r>
        <w:rPr>
          <w:rFonts w:cs="David" w:ascii="David" w:hAnsi="David"/>
        </w:rPr>
        <w:t>12/3/20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למאסר בפועל לתקופה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וביצע את העבירה שבפנינו פחות משנה לאחר שחרורו 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</w:t>
      </w:r>
      <w:r>
        <w:rPr>
          <w:rFonts w:ascii="David" w:hAnsi="David"/>
          <w:rtl w:val="true"/>
        </w:rPr>
        <w:t>נטען על ידי המאשימה במסגרת טיעוניה לעונש 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ששקללתי את מכלול הטעמים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בדעה כי מן הראוי להשית על הנאשם עונש של מאסר בפועל לתקופה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בניכוי ימי מעצרו 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 xml:space="preserve"> עונש של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בהינתן מצבו הכספי הקשה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יושת עליו 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בסיכומו של דבר אני דנה את הנאשם כדלקמן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280" w:after="0"/>
        <w:ind w:hanging="360" w:start="1069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למאסר בפועל לתקופה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בניכוי ימי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מיום </w:t>
      </w:r>
      <w:r>
        <w:rPr>
          <w:rFonts w:cs="David" w:ascii="David" w:hAnsi="David"/>
        </w:rPr>
        <w:t>3/3/21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1069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למאסר על תנאי לתקופה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והתנאי הוא לבל יעבור        הנאשם עבירה מסוג פשע לפי </w:t>
      </w:r>
      <w:hyperlink r:id="rId26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1069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למאסר על תנאי לתקופה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והתנאי הוא לבל יעבור הנאשם עבירה מסוג עוון לפי </w:t>
      </w:r>
      <w:hyperlink r:id="rId28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1069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לבקשת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ניתן בזה צו להשמדת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הכדורים וכן הגרב וכובע הגרב שנתפסו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bookmarkStart w:id="9" w:name="Nitan"/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 תמוז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David" w:ascii="David" w:hAnsi="David"/>
          <w:b/>
          <w:bCs/>
          <w:sz w:val="26"/>
          <w:szCs w:val="26"/>
        </w:rPr>
        <w:t>2021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 המאשימה עו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 אדם סרי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כ </w:t>
      </w:r>
      <w:bookmarkEnd w:id="9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הנאשם עו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 גב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סנדי אלקבץ וכן הנאשם שהובא על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ידי שב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31811-03-21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שלום שי אלמלח מלכה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bullet"/>
      <w:lvlText w:val=""/>
      <w:lvlJc w:val="end"/>
      <w:pPr>
        <w:tabs>
          <w:tab w:val="num" w:pos="0"/>
        </w:tabs>
        <w:ind w:start="10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069" w:hanging="360"/>
      </w:pPr>
      <w:rPr>
        <w:rFonts w:ascii="Symbol" w:hAnsi="Symbol" w:cs="Symbol" w:hint="default"/>
        <w:lang w:bidi="he-IL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643" w:hanging="360"/>
      </w:pPr>
      <w:rPr>
        <w:rFonts w:ascii="Symbol" w:hAnsi="Symbol" w:cs="Symbol" w:hint="default"/>
        <w:lang w:bidi="he-I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lang w:bidi="he-I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lang w:bidi="he-I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bidi w:val="0"/>
      <w:spacing w:before="280" w:after="280"/>
    </w:pPr>
    <w:rPr>
      <w:rFonts w:cs="Times New Roman"/>
    </w:rPr>
  </w:style>
  <w:style w:type="paragraph" w:styleId="ruller4">
    <w:name w:val="ruller4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case/6243627" TargetMode="External"/><Relationship Id="rId13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601503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6000182" TargetMode="External"/><Relationship Id="rId20" Type="http://schemas.openxmlformats.org/officeDocument/2006/relationships/hyperlink" Target="http://www.nevo.co.il/case/25612982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2137915" TargetMode="External"/><Relationship Id="rId24" Type="http://schemas.openxmlformats.org/officeDocument/2006/relationships/hyperlink" Target="http://www.nevo.co.il/case/26707667" TargetMode="External"/><Relationship Id="rId25" Type="http://schemas.openxmlformats.org/officeDocument/2006/relationships/hyperlink" Target="http://www.nevo.co.il/case/7840699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2022-02-23T11:49:00Z</dcterms:created>
  <dc:creator> </dc:creator>
  <dc:description/>
  <cp:keywords/>
  <dc:language>en-IL</dc:language>
  <cp:lastModifiedBy>h1</cp:lastModifiedBy>
  <dcterms:modified xsi:type="dcterms:W3CDTF">2022-02-23T11:49:00Z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שלום שי אלמלח מלכה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6243627;5601503;7791493;6000182;25612982;22137915;26707667;7840699</vt:lpwstr>
  </property>
  <property fmtid="{D5CDD505-2E9C-101B-9397-08002B2CF9AE}" pid="9" name="CITY">
    <vt:lpwstr>חי'</vt:lpwstr>
  </property>
  <property fmtid="{D5CDD505-2E9C-101B-9397-08002B2CF9AE}" pid="10" name="DATE">
    <vt:lpwstr>20210621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70301/144.b:2;040b;040c;040i;144:2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31811</vt:lpwstr>
  </property>
  <property fmtid="{D5CDD505-2E9C-101B-9397-08002B2CF9AE}" pid="22" name="NEWPARTB">
    <vt:lpwstr>03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390020210621</vt:lpwstr>
  </property>
  <property fmtid="{D5CDD505-2E9C-101B-9397-08002B2CF9AE}" pid="34" name="TYPE_N_DATE">
    <vt:lpwstr>39020210621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