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31842-04-21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חדד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שלום מאיר חדד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גאוסקין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411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bookmarkStart w:id="8" w:name="ABSTRACT_START"/>
      <w:bookmarkEnd w:id="8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העובדות אשר הוכחו וכל השתלשלות העניינים מפורטים בהכרעת הדין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ויש לראות את הקביעות שם כחלק בלתי נפרד מגזר הדין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להלן יובאו הדברים בתמצית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 פי פרק העובדות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הוכח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END"/>
      <w:bookmarkEnd w:id="9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5.4.21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ציקלוניט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RDX</w:t>
      </w:r>
      <w:r>
        <w:rPr>
          <w:rtl w:val="true"/>
        </w:rPr>
        <w:t xml:space="preserve">) </w:t>
      </w:r>
      <w:r>
        <w:rPr>
          <w:rtl w:val="true"/>
        </w:rPr>
        <w:t>ובכוחה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החבלה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הכרעת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הדין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ובדיעבד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בפגוש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לוקחים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היגיון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רלבנטיות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מהמשמעויות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הלבנה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גרסאותיו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המשתנות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הרלבנטי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הקבועה</w:t>
      </w:r>
      <w:r>
        <w:rPr>
          <w:rFonts w:cs="Times New Roman"/>
          <w:rtl w:val="true"/>
          <w:lang w:eastAsia="he-IL"/>
        </w:rPr>
        <w:t xml:space="preserve"> </w:t>
      </w:r>
      <w:hyperlink r:id="rId13">
        <w:r>
          <w:rPr>
            <w:rStyle w:val="Hyperlink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ד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ברכבו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הקבועה</w:t>
      </w:r>
      <w:r>
        <w:rPr>
          <w:rFonts w:cs="Times New Roman"/>
          <w:rtl w:val="true"/>
          <w:lang w:eastAsia="he-IL"/>
        </w:rPr>
        <w:t xml:space="preserve"> </w:t>
      </w:r>
      <w:hyperlink r:id="rId15">
        <w:r>
          <w:rPr>
            <w:rStyle w:val="Hyperlink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ד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הרלבנטי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הראיות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 xml:space="preserve">רישום 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סומן  עת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פי הרישום הפלילי לחובתו של הנאשם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החזקת סמים מסוכנים שלא לצריכה עצמית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בגינה נדון ל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והופעל מאסר מותנה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שהוטל מאסר כולל של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היזק לרכוש במזיד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בגינה נדון למאסר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ופיצוי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עבירה של ייצוא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אספקת סמים מסוכנים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בגינה נדון 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ואי הרשעה באיומים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תקיפת עובד ציבור ושיבוש מהלכי משפט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הוגשו ראיות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הנחיית פרקליט המדינה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ביחס למדיניות ענישה בעבירות נשק ומטעני חבלה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ורכושו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ליפול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בנשק שהוא לבנת חבלה שבד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משמשת כנשק התקפי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בעת הפעלת לבנת חבלה כזו הוא עצום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ושימוש בלבנות חבלה שהוא מחוברות למנגנון חבלה כמטען חבלה הביאו גם לפגיעות בחפים מפשע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הפגיעה בערכים המוגנים כאן היא גבוהה מאד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החלק של הנאשם בביצוע העבירה הוא בלעדי ומלא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בפסיקה יש בעיקר התייחסות למטעני חבלה או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ההתייחסות לסוגי נשק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 לעשות אבחון במקרה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מדובר בלבנת חבלה וודאי שמדובר בחומרה יתרה לעומת נשיאת אקדח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מוטלים עונשי מאסר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נוכח התקופה בה אנו מצויים כעת והצורך להילחם במכת הנשק הפוקדת את המדינה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נטען למתחם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מבחינת הנסיבות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ניהל את התיק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מרצה כיום עונש מאסר בפועל בן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ביצוע עבירת סמים כמפורט ברישום הפלילי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יש להביא בחשבון את הצורך בהרתעת היחיד והרבים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לאור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שכיחותן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והצורך בנקיטת יד קשה לשם מיגורן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התבקש למקם את עונשו של הנאשם באמצע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ולהטיל על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במצטבר לכל עונש מאסר שהוא מרצה אותו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ממושך ומרתיע וקנס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r>
        <w:rPr>
          <w:b/>
          <w:bCs/>
          <w:u w:val="single"/>
          <w:rtl w:val="true"/>
          <w:lang w:eastAsia="he-IL"/>
        </w:rPr>
        <w:t>"</w:t>
      </w:r>
      <w:r>
        <w:rPr>
          <w:b/>
          <w:b/>
          <w:bCs/>
          <w:u w:val="single"/>
          <w:rtl w:val="true"/>
          <w:lang w:eastAsia="he-IL"/>
        </w:rPr>
        <w:t>כ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הפסיקה לגבי נשיאת לבנת חבלה כשהיא איננה מוכנה לשימוש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בהנחיית פרקליט המדינה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אשר הוגשה וסומנה ענ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אמנם יש התייחסות למטען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התייחסות ישירה ללבנת חבלה שאינה מחוברת למנגנון הפעלה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הורשע לאחר ניהול הוכחות בכך שנשא ברכבו לבנת חבלה מוסלקת שעל פי הראיות שהובאו בפני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לא היתה מחוברת לשום מנגנון ולא היתה מוכנה להפעלה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קשר בין נשיאה של מטען מוכן להפעלה לבין לבנת חבלה שבפני עצמה לא מהווה איזה שהוא פוטנציאל מידי לסיכון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באופן כללי בכלל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מדרג מסוים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קיים ספקטרום שעליו אנו צריכים לבדוק היכן ממוקם כלי הנשק הספציפי ביחס לאחרים ברמת מסוכנותו וחומרתו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לנתונים של הנשק שבגין נשיאתו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שניתן לקבוע שלבנת חבלה שלא מחוברת למנגנון נמצאת בטווח שבין תחמושת להחזקת נשק לא טעון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כשבית המשפט בא להכריע בסוגיה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קיימים מספר נתונים הקשורים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יש להם משמעות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ריבוי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וכאן מדובר בלבנה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הנשק טעון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אפשר להקיש מהנסיבה הזו שמדובר בנשק לא טעון או לחילופין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המיקום בו הוחזק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כלומר האם מדובר באיזה שהוא מקום שפוטנציאל הפגיעה על ידי השימוש באותו נשק הוא פוטנציאל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כאן הנסיבה המחמירה הזו לא מתקיימת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לא נטען כי הנשק היה מיועד או היה חלק מאיזה סכסוך עברייני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שאנו מדברים על נשיאה של לבנת חבלה ברף התחתון של החומרה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הסוג הזה של הנשק היא חמורה בפני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בסוג הזה של הנשקים שהם חומרי נפץ מדובר ברף התחתון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 מקישים מהנחיית פרקליט המדינה שמבטא את 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פרקליט המדינה משווה בין מטען חבלה מוכן להפעלה לרימון רסס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שאנו יכולים להקיש מכך שלבנת חבלה מהסוג הזה היא ברמת חומרה פחותה מרימון רסס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מפנה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1094-05-15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30.5.2016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מדובר היה בשלוש עבירות סחר בשני מטעני חבלה ולבנת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בעבירות סחר ובריבוי כלי נשק שמוכנים להפעלה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זהו מתחם התואם את עתירת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ומדובר במקרה חמור הרבה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לפסיקה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ונטען כי עתירת המאשימה למתחם שהוצע על 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מתאימה יותר למטעני חבלה המוכנים להפעלה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בריבוי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וכשמדובר בעבירות של סחר או בנסיבות חמורות מבענייננו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למשל בייצור מטענים במסגרת ארגון טרור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מתחם העונש ההולם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צריך להתחיל משנת מאסר ועד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בתוך המתחם יש להתחשב בכך שאמנם 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לחובתו עבירות נשק או עבירות דומות לאלה בהן הואשם והורשע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ועונשו של הנאשם אינו צריך לעמוד בשליש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נטען כי הוא אינו צריך לעבור את הרף של תחתית השליש האמצעי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  <w:lang w:eastAsia="he-IL"/>
        </w:rPr>
        <w:tab/>
      </w:r>
      <w:r>
        <w:rPr>
          <w:rFonts w:ascii="David" w:hAnsi="David"/>
          <w:rtl w:val="true"/>
        </w:rPr>
        <w:t>הנאשם ביצע עבירה של הובלת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שנשא והוביל לבנת חבלה במשקל </w:t>
      </w:r>
      <w:r>
        <w:rPr>
          <w:rFonts w:cs="David" w:ascii="David" w:hAnsi="David"/>
        </w:rPr>
        <w:t>530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המכילה חומר נפץ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מדובר בלבנת חבלה אשר מכילה חומר נפץ שהיה בכוחו להמית אדם בעת התפוצצותו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העבירה כוללת בנסיבות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לנזק חמור ביותר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בביצוע העבירה פגע הנאשם בערכים המוגנים בבסיסה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שהם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והגנה על 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ביחס למסוכנות העולה מביצוע עבירות הקשורות בחומרי נפץ ר</w:t>
      </w:r>
      <w:r>
        <w:rPr>
          <w:rFonts w:cs="David" w:ascii="David" w:hAnsi="David"/>
          <w:rtl w:val="true"/>
        </w:rPr>
        <w:t xml:space="preserve">'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גונן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14.11.2013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141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אין צורך להכביר מילים על מסוכנותם הרבה של חומרי נפץ ומטעני חבלה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מדובר בסכנת נפשות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פשוטו כמשמעו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למגר תופעה של 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והובלה של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ניתן להתפשר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מידת הרחמים צריכה להיות מופנית יותר אל הציבור הרחב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מאשר כלפי המערער ואחרים שכמותו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שמסכנים חיי אדם בצורה שכזו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907"/>
        <w:jc w:val="both"/>
        <w:rPr>
          <w:rFonts w:ascii="Arial TUR;Arial" w:hAnsi="Arial TUR;Arial" w:cs="Arial TUR;Arial"/>
          <w:b/>
          <w:bCs/>
        </w:rPr>
      </w:pPr>
      <w:r>
        <w:rPr>
          <w:rFonts w:cs="Arial TUR;Arial" w:ascii="Arial TUR;Arial" w:hAnsi="Arial TUR;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1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19.4.2004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 w:before="0" w:after="0"/>
        <w:ind w:start="1360" w:end="851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276" w:before="0" w:after="200"/>
        <w:ind w:end="0"/>
        <w:contextualSpacing/>
        <w:jc w:val="both"/>
        <w:rPr>
          <w:rFonts w:ascii="Arial TUR;Arial" w:hAnsi="Arial TUR;Arial" w:cs="Arial TUR;Arial"/>
          <w:b/>
          <w:bCs/>
        </w:rPr>
      </w:pPr>
      <w:r>
        <w:rPr>
          <w:rFonts w:cs="Arial TUR;Arial" w:ascii="Arial TUR;Arial" w:hAnsi="Arial TUR;Arial"/>
          <w:b/>
          <w:bCs/>
          <w:rtl w:val="true"/>
        </w:rPr>
      </w:r>
    </w:p>
    <w:p>
      <w:pPr>
        <w:pStyle w:val="Normal"/>
        <w:spacing w:lineRule="auto" w:line="276" w:before="0" w:after="20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25.06.2013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שנפסק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לסוגיהן מגלמות בתוכן סיכון ממשי לשלום הציבור ולבטחונו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מדובר בעבירה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ולבנת חבלה המכילה חומר נפץ מרסק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בכוחה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ובעלת פוטנציאל לנזק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לגוף ולרכוש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David" w:hAnsi="David"/>
          <w:rtl w:val="true"/>
        </w:rPr>
        <w:t>בנסיבות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במסגרת השיקולים את החומרה הרבה הגלומה בלבנת החבלה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נשיאתה והובלתה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שמדובר בכלי נשק אשר יכול לגרום להרג ללא אבחנה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כי לבנת החבלה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במצב בו היא היתה עת הנאשם נתפס כשהוא מחזיק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כללה מנגנון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 כדי נסיבה המפחיתה מהאופי המסוכן של הלבנה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נפנה בעניין זה ל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19.4.2004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ביחס אליו התייחסות בהמשך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שנפסק בעניין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בנקל יכול היה חומר הנפץ שבלבנת החבלה להפוך למטען רב עוצמה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בלבנת חבלה בעלת פוטנציאל נזק גדול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המקימה מסוכנות רבה לציבור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תוצאותיה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האינדיבידואלי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מתחם העונש ההולם הוא אמת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מידה נורמטיבית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המשקללת את הערך החברתי שנפגע כתוצאה מן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הנהוגה ביחס לעבירה זו ונסיבות 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מידת אשמו של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בשלב זה איננו מתחשבים בנסיבותיו האישיות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היינו נסיבות שאינן קשורות בביצוע העבירה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ראו סעיף 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>יא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דוגמת נסיבות חייו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הפגיעה שתיגרם לו ולמשפחתו כתוצאה מהעונש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מאמציו לחזור למוטב ועברו הפלילי או היעדרו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אולם אין בכך כדי לגרוע מהצביון האינדיבידואלי שהעניק המחוקק לשלב עיצוב המתחם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בא לידי ביטוי בהוראה להתחשב בסוג העבירה בנסיבות המסוימות שבהן היא בוצעה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קיומו של תכנון מוקדם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נזק בכוח ובפועל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אכזריות כלפי הקורבן וכו</w:t>
      </w:r>
      <w:r>
        <w:rPr>
          <w:rFonts w:cs="David" w:ascii="David" w:hAnsi="David"/>
          <w:b/>
          <w:bCs/>
          <w:rtl w:val="true"/>
        </w:rPr>
        <w:t xml:space="preserve">'), </w:t>
      </w:r>
      <w:r>
        <w:rPr>
          <w:rFonts w:ascii="David" w:hAnsi="David"/>
          <w:b/>
          <w:b/>
          <w:bCs/>
          <w:rtl w:val="true"/>
        </w:rPr>
        <w:t xml:space="preserve">ותוך התייחסות למידת האשם של הנאשם המסוים שלפנינו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הסיבות שהובילוהו לבצע את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חלקו היחסי בביצועה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יכולתו להימנע מהמעשה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מצוקתו הנפשית עקב התעללות מצד קורבן העבירה וכו</w:t>
      </w:r>
      <w:r>
        <w:rPr>
          <w:rFonts w:cs="David" w:ascii="David" w:hAnsi="David"/>
          <w:b/>
          <w:bCs/>
          <w:rtl w:val="true"/>
        </w:rPr>
        <w:t xml:space="preserve">')."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בהנחיה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 xml:space="preserve">עתרה למתחם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המתחם המבוקש יכול ויהיה רלבנטי לעבירות נשק חמורות הרבה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הכוללות סחר והובלת מטעני חבלה הכוללים מנגנון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 לקבוע מתחם עונש הולם שתחילתו בשנת מאסר וסיומו ב –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להלן אפנה לפסיקה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מובן כי כל מקרה ונסיבותיו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לאבחן את הנסיבות בהתאם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יצויין כי אכן הפסיקה בעבירה נשיאה והובלה של נשק בנסיבות שבענייננו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מועטה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תבוצע אבחנה מתאימה מהפסיקה הכוללת גם נסיבות מעט 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הורשע המערער בעבירה של נשיאה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הסדר טיעון אשר כלל הסכמה כי המאשימה תעתור ל 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והנאשם יטען טיעון פתוח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הורשע בכך שהעביר עם אחר מטען חבלה שהכיל תערובת נפץ מאולתרת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רסס במשקל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ברגים ומסמרים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והסתירו את המטען תחת שיח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דחה את ערעורו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שציין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מסוכנותם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חומרי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נפץ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ומטעני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חבלה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ידועה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</w:t>
      </w:r>
      <w:r>
        <w:rPr>
          <w:b/>
          <w:bCs/>
          <w:sz w:val="20"/>
          <w:rtl w:val="true"/>
        </w:rPr>
        <w:t>-</w:t>
      </w:r>
      <w:r>
        <w:rPr>
          <w:b/>
          <w:b/>
          <w:bCs/>
          <w:sz w:val="20"/>
          <w:sz w:val="20"/>
          <w:rtl w:val="true"/>
        </w:rPr>
        <w:t>דעת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סכנת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נפשות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פשוטו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כמשמעו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שומה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להרתם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מנת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למגר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תופעה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נשיאה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והובלה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נשק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בחיי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עסקינן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מקום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לפשרות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להצטער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המערער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על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נקלע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שוב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למעשה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עברייני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חמור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שכזה</w:t>
      </w:r>
      <w:r>
        <w:rPr>
          <w:b/>
          <w:bCs/>
          <w:sz w:val="2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גונן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14.11.2013</w:t>
      </w:r>
      <w:r>
        <w:rPr>
          <w:rFonts w:cs="David" w:ascii="David" w:hAnsi="David"/>
          <w:rtl w:val="true"/>
        </w:rPr>
        <w:t>) 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נשיאה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והובלה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מטען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חבלה</w:t>
      </w:r>
      <w:r>
        <w:rPr>
          <w:sz w:val="20"/>
          <w:rtl w:val="true"/>
        </w:rPr>
        <w:t xml:space="preserve">),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ואחרים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מטעני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שהכין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מטעני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החבלה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אליהם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הוצמדו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מנגנוני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הפעלה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הכוללים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ושלט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חלקו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מטען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חבלה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שייצרו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והובלתו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למקום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ידוע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הורשע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במסגרת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הוסכם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שהמאשימה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תעתור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36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יטען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כרצונו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המערער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נדון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</w:t>
      </w:r>
      <w:r>
        <w:rPr>
          <w:sz w:val="20"/>
          <w:rtl w:val="true"/>
        </w:rPr>
        <w:t>-</w:t>
      </w:r>
      <w:r>
        <w:rPr>
          <w:sz w:val="20"/>
        </w:rPr>
        <w:t>30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לריצוי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בפועל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ערעורו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נדחה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אליו הפנו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) 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המערער בעבירה של נשיאת נשק בכך שנשא אקדח טעון ומחסנית שהכילה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נגנב חודשים אחדים קודם לכן בהתפרצות לדירה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הגיע למקום מפגש ליישוב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עימו ברכב ולאחר מכן במכנסיו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וכשהגיעו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העונש ההולם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וגזר על המערער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נדחה תוך שבית המשפט העליון ציין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 העונש שנגזר על המערער במקרה דנן אינו מן הקלים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אינו חורג באופן מהותי ממדיניות הענישה הנוהגת והראויה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וצויין עברו הפלילי המכביד של המערער והעובדה כי זמן קצר קודם לכן סיים לרצות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בנסיבות שונות מבענייננו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 מדובר היה בנשיאת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לבנת חבלה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מוצא כי החומרה בנשיאה והובלת לבנת חבלה על פוטנציאל המסוכנות הגבוה העולה ממנה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הינו קטן מהפוטנציאל בהובלת אקדח ומחסנית 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5.6.2013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 xml:space="preserve">ומערער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בעבירה של החזקת סם מסוכן וסחר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מכרו לסוכן משטרתי סמוי רימון הלם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ובאישום השני בו הורשע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מכר לסוכן סמוי כדורי סם מסוכן תמורת </w:t>
      </w:r>
      <w:r>
        <w:rPr>
          <w:rFonts w:cs="David" w:ascii="David" w:hAnsi="David"/>
        </w:rPr>
        <w:t>2,900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בבית המשפט המחוזי נקבע כי מתחם העונש ההולם לעבירות הקשורות ברימון ההלם נע בין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והטיל על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וכך גם על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לו נוספו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עבירות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גמולית לסחר ברימון הלם בודד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כל חידוש בקביעה כי קיים מדרג ענישה בעבירות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הנקבע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סוג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איכות וכמות הנשק שנעשה בו שימוש</w:t>
      </w:r>
      <w:r>
        <w:rPr>
          <w:rFonts w:cs="David" w:ascii="David" w:hAnsi="David"/>
          <w:b/>
          <w:bCs/>
          <w:rtl w:val="true"/>
        </w:rPr>
        <w:t xml:space="preserve">...". </w:t>
      </w:r>
      <w:r>
        <w:rPr>
          <w:rFonts w:ascii="David" w:hAnsi="David"/>
          <w:rtl w:val="true"/>
        </w:rPr>
        <w:t>לאחר התייחסות ספציפית לרימון הלם ולכך שהסכנה העולה ממנו אינה משתווה לזו של כלי נשק אחרים דוגמת רימון רסס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מדובר בנשק שבכוחו לגרום לפציעה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ומדובר בנשק שאינו יכול להביא להרג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להתערב במתחם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בהתחשב במגמה המתחייבת של החמרה בענישה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המיושמת בפסיקה בשנים האחרונות</w:t>
      </w:r>
      <w:r>
        <w:rPr>
          <w:rFonts w:cs="David" w:ascii="David" w:hAnsi="David"/>
          <w:b/>
          <w:bCs/>
          <w:rtl w:val="true"/>
        </w:rPr>
        <w:t xml:space="preserve">...".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פסק דין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 לצורך בהחמרה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היקף המתרחב של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כי הדברים האמורים נכונים לימינו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ביתר 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ריבוי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המחוקק אף החמיר את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החוק תוקן ונקבע כי העונש לא יפחת מרבע העונש המירבי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הוראה זו אינה חלה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מועד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מגמת ההחמרה היתה גם עוד קודם לתיקון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לעניין זה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4785/21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עבסה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בגין ביצוע עבירות של ניסיון ייצור וסחר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לביצוע פשע ועוון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בנשק ותחמושת והובלת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בכתב אישום אשר כלל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על המשיב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המערער שכנגד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בצירוף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התקבל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ועונשו של המשיב הוחמר מ –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 –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זאת נפסק ביחס למגמת ההחמרה כמו התיקון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בהתאם לזאת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וכחלק מתפקידו של בית המשפט בביעורן של תופעות קשות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דרך הסוחרים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אף המחוקק נתן דעתו לצורך בהחמרה בענישה לאלו המורשעים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במסגרת קביעתו מהעת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אינה חלה מטבע הדברים על 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לחוק </w:t>
      </w:r>
      <w:r>
        <w:rPr>
          <w:rFonts w:cs="David" w:ascii="David" w:hAnsi="David"/>
          <w:b/>
          <w:bCs/>
          <w:rtl w:val="true"/>
        </w:rPr>
        <w:t>(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2938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בהוראת שעה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המחוקק ראה לעגן באופן חריג עונשים מזעריים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בקביעתו כי העונש שיוטל על אדם שהורשע בעבירות מסוימות הנוגעות להחזקת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 או רכישת נשק שלא כדין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אם כן החליט בית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מטעמים מיוחדים שיירשמו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להקל בעונשו</w:t>
      </w:r>
      <w:r>
        <w:rPr>
          <w:rFonts w:cs="David" w:ascii="David" w:hAnsi="David"/>
          <w:b/>
          <w:bCs/>
          <w:rtl w:val="true"/>
        </w:rPr>
        <w:t xml:space="preserve">; ..." ... </w:t>
      </w:r>
      <w:r>
        <w:rPr>
          <w:rFonts w:ascii="David" w:hAnsi="David"/>
          <w:b/>
          <w:b/>
          <w:bCs/>
          <w:rtl w:val="true"/>
        </w:rPr>
        <w:t>אנו רואים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חומרתה של תופעת ההחזקה והשימוש בנשק בלתי חוקי הובילה גם את המחוקק לפעול בצעד נוסף המכוון להחמרת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בצירוף למדיניות המחמירה שננקטה ממילא על ידי בתי המשפט בערכאות השונות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יודגש כי תיקון חוק זה אינו חל 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ואולם בנסיבות העניין אני סבור אפוא כי יש לקבל את ערעור המדינה מאחר שבית המשפט המחוזי לא יישם כנדרש את מדיניות הענישה הנהוגה בעבירות בהן הורשע המשיב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מגמת ההחמרה שנסקרה לעיל ובאה לידי ביטוי בשורת פסקי דין של בית משפט זה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31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הורשעו המשיבים בביצוע עבירות של נשיאת נשק לפי </w:t>
      </w:r>
      <w:hyperlink r:id="rId3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וקבלת נכסים שהושגו בפשע לפי </w:t>
      </w:r>
      <w:hyperlink r:id="rId3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שהמשיבים קיבלו מאחר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לבנות חבלה אשר נגנבו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ומכילות חומר נפץ במשקל כולל של כ 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והמשיבים ידעו כי הם מובילים ברכבם נשק שהושג בפשע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בית המשפט המחוזי הטיל עונש הכולל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ובערעור הוחמר עונשם של המשיבים ל 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שצויין כי בית המשפט אינו ממצה את הדין עם המשיבים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והוער 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החמרה נוספת ברף הענישה בעבירות מסוג זה שבהן הורשעו המשיבים אם וכאשר יידרשו לכך בתי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בלתי נמנעת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נפסק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מדובר בעונש מקל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וכאשר מדובר בנשק שעל פי טיבו אינו מיועד להגנה עצמית וכל כולו נשק התקפי רב עוצמה אשר השימוש בו יכול להביא להרג ללא אבחנה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בעבירת החזקת ונשיאה של אותו נשק חומרה מיוחדת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הדברים הללו רלבנטיים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הוביל נשק שהינו לבנת חבלה במשקל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ויכולה היא להביא להרג ללא אבחנה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החומרה הרבה בעבירה אשר ביצע הנאשם ובנסיבות ביצועה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לא ניתן על ידי הנאשם הסבר כלשהו לתכלית ההחזקה של העברה של לבנת החבלה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ונפנה להתייחסות למצב דברים זה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כי הדבר מקים הנחה עובדתית כי הנשק נועד למטרות התקפיות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נפסק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1332/04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העובדה שללבנות החבלה לא הוצמד 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מפחיתה מאופיין המסוכן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נקלה החומר שבלבנות החבלה יכול היה להפוך למטענים רבי עוצמה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להלן הדברים שנפסקו בהתייחסות לאמור לעיל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העונש שהושת על המשיבים מקל עמם במידה ניכרת ואינו נותן משקל הולם לחומרה המיוחדת שיש בהחזקה ובנשיאה של לבנות חבלה מן הסוג שנתפס ברכבם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כבר נאמר לא אחת בפסיקתנו כי מידת העונש המוטל בגין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מושפעת מפוטנציאל הסיכון הרב הטמון בנשק המוחזק שלא כדין ומהעברתו מיד ליד ללא פיקוח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בבוא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לגזור את הדין בעבירה של החזקה ונשיאה של נשק עליו להתחשב בנסיבות שבהן באה לידי ביטוי החומרה המיוחדת שבעבירה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ייתן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דעתו על סוג הנשק המוחזק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כמותו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התכלית שלשמה הוא מוחזק ועל הסכנה המוחשית שיעשה בו שימוש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כאשר מדובר בנשק שעל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טיבו אינו מיועד להגנה עצמית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וכל כולו נשק התקפי רב עוצמה אשר השימוש בו יכול להביא להרג ללא הבחנה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 בעבירת ההחזקה והנשיאה של אותו נשק חומרה מיוחדת</w:t>
      </w:r>
      <w:r>
        <w:rPr>
          <w:rFonts w:cs="David" w:ascii="David" w:hAnsi="David"/>
          <w:b/>
          <w:bCs/>
          <w:rtl w:val="true"/>
        </w:rPr>
        <w:t>. ...</w:t>
      </w:r>
      <w:r>
        <w:rPr>
          <w:rFonts w:ascii="David" w:hAnsi="David"/>
          <w:b/>
          <w:b/>
          <w:bCs/>
          <w:rtl w:val="true"/>
        </w:rPr>
        <w:t>בהיעדר הסבר כלשהו לתכלית החזקתו והעברתו ברכב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מקים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ניסיון החיים הנחה עובדתית כי אכן נועד למטרות התקפיות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העובדה כי ללבנות החבלה לא הוצמד נַפּץ איננה מפחיתה מאופיין המסוכן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ספק כי על נקלה היה החומר שמצוי בלבנות החבלה יכול להפוך למטענים רבי עוצמה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החיבור לנפץ ניתן לביצוע קל ומיידי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ירין ביטון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 המשיב 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שהוא ביקש לרכוש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לאקדח ולבנת חבלה ונפץ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מאדם אשר נעצר בדרכו עם כל אלה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נגזר על המשיב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העליון החמיר את הענישה ל 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יצויין כי שם מדובר היה מחד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לבנת חבלה ונפץ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ובעניינו של הנאשם כאן בלבנת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אקדח תחמושת לאקדח ונפץ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ומנגד שם מדובר היה בעבירה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הרישא קובע עונש מאסר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והסיפא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כאן הורשע בעבירה לפי </w:t>
      </w:r>
      <w:hyperlink r:id="rId4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העונש לצידה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וכך נפסק ב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גזר הדין קמא איננו מקיים דרישה בסיסית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העונש של שמונה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עשר חודשי מאסר בגין ביצועהּ של עבירת נשק חמורה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שעונשה המרבי הוא שבע שנות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עונש שראוי להטיל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בכלל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ורק בנסיבות מקלות חריגות ביותר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ואלו אינן בנמצא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המשיב נמצא אשם ברכישת 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לבנת חבלה ונפץ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כשבאמתחתו הרשעות קודמות אשר כוללות עבירת אלימות חמורה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הודאתו בביצוע העבירות בהן הורשע ונסיבות חייו הקשות אינן בגדר נסיבות מקלות חריגות 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והן בוודאי אינן מצדיקות את ההקלה החריגה לה זכה מידיו של בית משפט קמא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גזר הדין קמא אף עומד בסתירה למדיניות ההחמרה עם עברייני נשק לסוגיהם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נקוטה בידינו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מדיניות זו באה לידי ביטוי בשורה ארוכה של פסקי דין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מוביל לבנת חבלה במשקל העולה על חצי קילוגרם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ללבנה זו פוטנציאל הרג ללא אבחנה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מתחם העונש ההולם לבטא את המענה העונשי הראוי וההולם לחומרה זו של נסיבות 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העונש ההולם לו 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אינו משקף את חומרת העבירה בנסיבות ביצועה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הרף התחתון של מתחם העונש ההולם אשר 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הרף התחתון ההולם לביצוע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הרף העליון נמוך מזה אשר נטען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lang w:eastAsia="he-IL"/>
        </w:rPr>
      </w:pPr>
      <w:r>
        <w:rPr>
          <w:rFonts w:ascii="David" w:hAnsi="David"/>
          <w:rtl w:val="true"/>
        </w:rPr>
        <w:t>מכל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העבירה אשר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ככולל מאסר בפועל הנע בין 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1992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בחר לנהל הליך של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זוהי זכותו המלאה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זכותו של כל 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לעניין זה ר</w:t>
      </w:r>
      <w:r>
        <w:rPr>
          <w:rFonts w:cs="David" w:ascii="David" w:hAnsi="David"/>
          <w:rtl w:val="true"/>
        </w:rPr>
        <w:t xml:space="preserve">' 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3768/08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7.11.2010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ניקולאי בורנשב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27.2.2014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הגם שלעצם ניהול הליך אין השפעה על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משמועלות במסגרתו טענות עובדתיות שנדחות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לכך השלכה על המסקנה בדבר אי לקיחת אחריות ובדבר העדר 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ולאלו יש משקל בענישה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ומיגורן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1601/03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</w:t>
      </w:r>
      <w:r>
        <w:rPr>
          <w:rtl w:val="true"/>
          <w:lang w:eastAsia="he-IL"/>
        </w:rPr>
        <w:t>(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949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14.3.2005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ההוראה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hyperlink r:id="rId47">
        <w:r>
          <w:rPr>
            <w:rStyle w:val="Hyperlink"/>
            <w:rtl w:val="true"/>
            <w:lang w:eastAsia="he-IL"/>
          </w:rPr>
          <w:t>בסעיף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45</w:t>
        </w:r>
        <w:r>
          <w:rPr>
            <w:rStyle w:val="Hyperlink"/>
            <w:rtl w:val="true"/>
            <w:lang w:eastAsia="he-IL"/>
          </w:rPr>
          <w:t>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ומחייבת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תגבור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1601/03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958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כמסכת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בכפילות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שייחשבו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5.4.21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בתאריך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10.5.21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10.5.21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5.4.21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10.5.21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על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  <w:lang w:eastAsia="he-IL"/>
        </w:rPr>
      </w:pPr>
      <w:r>
        <w:rPr>
          <w:color w:val="FFFFFF"/>
          <w:sz w:val="2"/>
          <w:szCs w:val="2"/>
          <w:lang w:eastAsia="he-IL"/>
        </w:rPr>
        <w:t>5129371</w:t>
      </w:r>
      <w:r>
        <w:rPr>
          <w:color w:val="FFFFFF"/>
          <w:sz w:val="2"/>
          <w:szCs w:val="2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31842-04-21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שלום מאיר חדד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5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d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d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d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case/20240520" TargetMode="External"/><Relationship Id="rId20" Type="http://schemas.openxmlformats.org/officeDocument/2006/relationships/hyperlink" Target="http://www.nevo.co.il/case/10485614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5601503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case/6473037" TargetMode="External"/><Relationship Id="rId25" Type="http://schemas.openxmlformats.org/officeDocument/2006/relationships/hyperlink" Target="http://www.nevo.co.il/case/21477388" TargetMode="External"/><Relationship Id="rId26" Type="http://schemas.openxmlformats.org/officeDocument/2006/relationships/hyperlink" Target="http://www.nevo.co.il/case/10485614" TargetMode="External"/><Relationship Id="rId27" Type="http://schemas.openxmlformats.org/officeDocument/2006/relationships/hyperlink" Target="http://www.nevo.co.il/case/21474168" TargetMode="External"/><Relationship Id="rId28" Type="http://schemas.openxmlformats.org/officeDocument/2006/relationships/hyperlink" Target="http://www.nevo.co.il/case/6473037" TargetMode="External"/><Relationship Id="rId29" Type="http://schemas.openxmlformats.org/officeDocument/2006/relationships/hyperlink" Target="http://www.nevo.co.il/case/27734980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762686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1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7309272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/144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case/27309272" TargetMode="External"/><Relationship Id="rId44" Type="http://schemas.openxmlformats.org/officeDocument/2006/relationships/hyperlink" Target="http://www.nevo.co.il/case/5915123" TargetMode="External"/><Relationship Id="rId45" Type="http://schemas.openxmlformats.org/officeDocument/2006/relationships/hyperlink" Target="http://www.nevo.co.il/case/6246990" TargetMode="External"/><Relationship Id="rId46" Type="http://schemas.openxmlformats.org/officeDocument/2006/relationships/hyperlink" Target="http://www.nevo.co.il/case/5779713" TargetMode="External"/><Relationship Id="rId47" Type="http://schemas.openxmlformats.org/officeDocument/2006/relationships/hyperlink" Target="http://www.nevo.co.il/law/70301/45.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779713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2023-05-08T09:09:00Z</dcterms:created>
  <dc:creator> </dc:creator>
  <dc:description/>
  <cp:keywords/>
  <dc:language>en-IL</dc:language>
  <cp:lastModifiedBy>h1</cp:lastModifiedBy>
  <dcterms:modified xsi:type="dcterms:W3CDTF">2023-05-08T09:09:00Z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שלום מאיר חדד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20240520;10485614:2;5762686:3;5601503;6473037:2;21477388;21474168;27734980;27309272:2;5915123;6246990;5779713:2</vt:lpwstr>
  </property>
  <property fmtid="{D5CDD505-2E9C-101B-9397-08002B2CF9AE}" pid="9" name="CITY">
    <vt:lpwstr>ב"ש</vt:lpwstr>
  </property>
  <property fmtid="{D5CDD505-2E9C-101B-9397-08002B2CF9AE}" pid="10" name="DATE">
    <vt:lpwstr>20220307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70301/144.b:3;144.d:2;411;144.a:2;029;045.b</vt:lpwstr>
  </property>
  <property fmtid="{D5CDD505-2E9C-101B-9397-08002B2CF9AE}" pid="15" name="LAWLISTTMP2">
    <vt:lpwstr>4216/013</vt:lpwstr>
  </property>
  <property fmtid="{D5CDD505-2E9C-101B-9397-08002B2CF9AE}" pid="16" name="LAWYER">
    <vt:lpwstr>נועה שוקר;אלכס גאוסקין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31842</vt:lpwstr>
  </property>
  <property fmtid="{D5CDD505-2E9C-101B-9397-08002B2CF9AE}" pid="23" name="NEWPARTB">
    <vt:lpwstr>04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390020220307</vt:lpwstr>
  </property>
  <property fmtid="{D5CDD505-2E9C-101B-9397-08002B2CF9AE}" pid="35" name="TYPE_N_DATE">
    <vt:lpwstr>39020220307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