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79"/>
        <w:gridCol w:w="1094"/>
        <w:gridCol w:w="1068"/>
        <w:gridCol w:w="3679"/>
        <w:gridCol w:w="82"/>
      </w:tblGrid>
      <w:tr>
        <w:trPr>
          <w:trHeight w:val="418" w:hRule="exact"/>
        </w:trPr>
        <w:tc>
          <w:tcPr>
            <w:tcW w:w="8720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397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31844-05-11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זרעיני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720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 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 אשר קולה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879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3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79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3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בילאל זרעיני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בשם</w:t>
      </w:r>
      <w:bookmarkEnd w:id="2"/>
      <w:r>
        <w:rPr>
          <w:u w:val="none"/>
          <w:rtl w:val="true"/>
        </w:rPr>
        <w:t xml:space="preserve"> המאשימה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סימונה בן חיים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בשם 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עבוד ניזאר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בעצמו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  <w:u w:val="none"/>
        </w:rPr>
      </w:pPr>
      <w:r>
        <w:rPr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  <w:bookmarkStart w:id="3" w:name="Links_End"/>
      <w:bookmarkStart w:id="4" w:name="Links_Start"/>
      <w:bookmarkStart w:id="5" w:name="Links_End"/>
      <w:bookmarkStart w:id="6" w:name="Links_Start"/>
      <w:bookmarkEnd w:id="5"/>
      <w:bookmarkEnd w:id="6"/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bookmarkStart w:id="7" w:name="Links_Start"/>
      <w:bookmarkEnd w:id="7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11" w:name="PsakDin"/>
      <w:bookmarkEnd w:id="11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מבוא ועובדות כתב האישום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</w:t>
      </w:r>
      <w:r>
        <w:rPr>
          <w:rtl w:val="true"/>
        </w:rPr>
        <w:t>.</w:t>
        <w:tab/>
      </w:r>
      <w:r>
        <w:rPr>
          <w:rtl w:val="true"/>
        </w:rPr>
        <w:t>הנאשם הורשע בהתאם להודאתו</w:t>
      </w:r>
      <w:r>
        <w:rPr>
          <w:rtl w:val="true"/>
        </w:rPr>
        <w:t xml:space="preserve">, </w:t>
      </w:r>
      <w:r>
        <w:rPr>
          <w:rtl w:val="true"/>
        </w:rPr>
        <w:t>בכתב אישום מתוקן</w:t>
      </w:r>
      <w:r>
        <w:rPr>
          <w:rtl w:val="true"/>
        </w:rPr>
        <w:t xml:space="preserve">, </w:t>
      </w:r>
      <w:r>
        <w:rPr>
          <w:rtl w:val="true"/>
        </w:rPr>
        <w:t>בעבירות של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bookmarkStart w:id="14" w:name="ABSTRACT_START"/>
      <w:bookmarkEnd w:id="14"/>
      <w:r>
        <w:rPr>
          <w:b/>
          <w:b/>
          <w:bCs/>
          <w:rtl w:val="true"/>
        </w:rPr>
        <w:t>ניסיון לפציעה בנסיבות מחמירות</w:t>
      </w:r>
      <w:r>
        <w:rPr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</w:t>
      </w:r>
      <w:r>
        <w:rPr>
          <w:rtl w:val="true"/>
        </w:rPr>
        <w:t xml:space="preserve">לפי 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ובצירוף </w:t>
      </w:r>
      <w:hyperlink r:id="rId1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4">
        <w:r>
          <w:rPr>
            <w:rStyle w:val="Hyperlink"/>
            <w:rtl w:val="true"/>
          </w:rPr>
          <w:t>חוק העונשין</w:t>
        </w:r>
      </w:hyperlink>
      <w:r>
        <w:rPr>
          <w:color w:val="000000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>").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עבירות בנשק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hyperlink r:id="rId16"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הפרעה לשוטר במילוי תפקידו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</w:t>
      </w:r>
      <w:r>
        <w:rPr>
          <w:rFonts w:ascii="Arial" w:hAnsi="Arial" w:cs="Arial"/>
          <w:color w:val="000000"/>
          <w:rtl w:val="true"/>
        </w:rPr>
        <w:t xml:space="preserve">לפי </w:t>
      </w:r>
      <w:hyperlink r:id="rId1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275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לחוק</w:t>
      </w:r>
      <w:r>
        <w:rPr>
          <w:rFonts w:cs="Arial" w:ascii="Arial" w:hAnsi="Aria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5" w:name="ABSTRACT_END"/>
      <w:bookmarkStart w:id="16" w:name="ABSTRACT_END"/>
      <w:bookmarkEnd w:id="16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rtl w:val="true"/>
        </w:rPr>
        <w:t>.</w:t>
        <w:tab/>
      </w:r>
      <w:r>
        <w:rPr>
          <w:rtl w:val="true"/>
        </w:rPr>
        <w:t>כעולה מעובדות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הנאשם זרק רימון הלם מסוג </w:t>
      </w:r>
      <w:r>
        <w:rPr>
          <w:rtl w:val="true"/>
        </w:rPr>
        <w:t>"</w:t>
      </w:r>
      <w:r>
        <w:rPr>
          <w:rtl w:val="true"/>
        </w:rPr>
        <w:t>סנוור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הרימון</w:t>
      </w:r>
      <w:r>
        <w:rPr>
          <w:rtl w:val="true"/>
        </w:rPr>
        <w:t xml:space="preserve">") </w:t>
      </w:r>
      <w:r>
        <w:rPr>
          <w:rtl w:val="true"/>
        </w:rPr>
        <w:t>לעבר קבוצת אנשים בכפר טורעאן וזאת בכוונה לגרום להם לפציעות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הרימון נזרק</w:t>
      </w:r>
      <w:r>
        <w:rPr>
          <w:rtl w:val="true"/>
        </w:rPr>
        <w:t xml:space="preserve">, </w:t>
      </w:r>
      <w:r>
        <w:rPr>
          <w:rtl w:val="true"/>
        </w:rPr>
        <w:t>כך כנטען בכתב האישום</w:t>
      </w:r>
      <w:r>
        <w:rPr>
          <w:rtl w:val="true"/>
        </w:rPr>
        <w:t xml:space="preserve">, </w:t>
      </w:r>
      <w:r>
        <w:rPr>
          <w:rtl w:val="true"/>
        </w:rPr>
        <w:t>עקב סכסוך שקיים בין משפחתו של הנאשם לבין בני משפחת עדווי שלעברם הושלך הרימון</w:t>
      </w:r>
      <w:r>
        <w:rPr>
          <w:rtl w:val="true"/>
        </w:rPr>
        <w:t xml:space="preserve">. </w:t>
      </w:r>
      <w:r>
        <w:rPr>
          <w:rtl w:val="true"/>
        </w:rPr>
        <w:t>לאחר זריקת הרימון נמלט הנאשם ונכנס לתוך ביתו של תושב אחר בכפר טורעאן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</w:t>
      </w:r>
      <w:r>
        <w:rPr>
          <w:rtl w:val="true"/>
        </w:rPr>
        <w:t>.</w:t>
        <w:tab/>
      </w:r>
      <w:r>
        <w:rPr>
          <w:rtl w:val="true"/>
        </w:rPr>
        <w:t>יום למחרת אירוע זריקת הרימון</w:t>
      </w:r>
      <w:r>
        <w:rPr>
          <w:rtl w:val="true"/>
        </w:rPr>
        <w:t xml:space="preserve">, </w:t>
      </w:r>
      <w:r>
        <w:rPr>
          <w:rtl w:val="true"/>
        </w:rPr>
        <w:t>הגיע כוח שוטרים לביתו של הנאשם בטורעאן וזאת על מנת לעצור את הנאשם</w:t>
      </w:r>
      <w:r>
        <w:rPr>
          <w:rtl w:val="true"/>
        </w:rPr>
        <w:t xml:space="preserve">. </w:t>
      </w:r>
      <w:r>
        <w:rPr>
          <w:rtl w:val="true"/>
        </w:rPr>
        <w:t>הנאשם לא נכח בביתו ולאחר מכן ובדרכם של השוטרים לצאת את הכפר</w:t>
      </w:r>
      <w:r>
        <w:rPr>
          <w:rtl w:val="true"/>
        </w:rPr>
        <w:t xml:space="preserve">, </w:t>
      </w:r>
      <w:r>
        <w:rPr>
          <w:rtl w:val="true"/>
        </w:rPr>
        <w:t>הבחינו הם בנאשם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אחד השוטרים קרא לנאשם לעצור</w:t>
      </w:r>
      <w:r>
        <w:rPr>
          <w:rtl w:val="true"/>
        </w:rPr>
        <w:t xml:space="preserve">, </w:t>
      </w:r>
      <w:r>
        <w:rPr>
          <w:rtl w:val="true"/>
        </w:rPr>
        <w:t>ואולם הלה נמלט מהשוטרים עד שלבסוף נעצר על ידי אחד השוטרים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4</w:t>
      </w:r>
      <w:r>
        <w:rPr>
          <w:rtl w:val="true"/>
        </w:rPr>
        <w:t>.</w:t>
        <w:tab/>
      </w:r>
      <w:r>
        <w:rPr>
          <w:rtl w:val="true"/>
        </w:rPr>
        <w:t>עובר להגשת כתב האישום המתוקן התקיימו שתי ישיבות של הוכחות ורק בעיצומה של ישיבת ההוכחות השנייה</w:t>
      </w:r>
      <w:r>
        <w:rPr>
          <w:rtl w:val="true"/>
        </w:rPr>
        <w:t xml:space="preserve">, </w:t>
      </w:r>
      <w:r>
        <w:rPr>
          <w:rtl w:val="true"/>
        </w:rPr>
        <w:t>הודיעו הצדדים על הסדר 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יתוקן כתב האישום</w:t>
      </w:r>
      <w:r>
        <w:rPr>
          <w:rtl w:val="true"/>
        </w:rPr>
        <w:t xml:space="preserve">, </w:t>
      </w:r>
      <w:r>
        <w:rPr>
          <w:rtl w:val="true"/>
        </w:rPr>
        <w:t>הנאשם יודה בעובדותיו</w:t>
      </w:r>
      <w:r>
        <w:rPr>
          <w:rtl w:val="true"/>
        </w:rPr>
        <w:t xml:space="preserve">, </w:t>
      </w:r>
      <w:r>
        <w:rPr>
          <w:rtl w:val="true"/>
        </w:rPr>
        <w:t>יורשע בהן ובטרם ייגזר דינו</w:t>
      </w:r>
      <w:r>
        <w:rPr>
          <w:rtl w:val="true"/>
        </w:rPr>
        <w:t xml:space="preserve">, </w:t>
      </w:r>
      <w:r>
        <w:rPr>
          <w:rtl w:val="true"/>
        </w:rPr>
        <w:t xml:space="preserve">יופנה הוא לקבלת תסקיר שרות המבחן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התסקיר</w:t>
      </w:r>
      <w:r>
        <w:rPr>
          <w:rtl w:val="true"/>
        </w:rPr>
        <w:t xml:space="preserve">").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5</w:t>
      </w:r>
      <w:r>
        <w:rPr>
          <w:rtl w:val="true"/>
        </w:rPr>
        <w:t>.</w:t>
        <w:tab/>
      </w:r>
      <w:r>
        <w:rPr>
          <w:rtl w:val="true"/>
        </w:rPr>
        <w:t>על סמך האמור הרשעתי אכן את הנאשם בעבירות שיוחסו לו בכתב האישום המתוקן והוריתי על הפנייתו לקבלת תסקיר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תסקיר שרות המבחן</w:t>
      </w: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6</w:t>
      </w:r>
      <w:r>
        <w:rPr>
          <w:rtl w:val="true"/>
        </w:rPr>
        <w:t>.</w:t>
        <w:tab/>
      </w:r>
      <w:r>
        <w:rPr>
          <w:rtl w:val="true"/>
        </w:rPr>
        <w:t>שרות המבחן סקר את נסיבות חייו של 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העובד כשוטף כלים במסעדה ולסירוגין</w:t>
      </w:r>
      <w:r>
        <w:rPr>
          <w:rtl w:val="true"/>
        </w:rPr>
        <w:t xml:space="preserve">, </w:t>
      </w:r>
      <w:r>
        <w:rPr>
          <w:rtl w:val="true"/>
        </w:rPr>
        <w:t>מסייע לאביו בעבודה בשטחים חקלאיים של 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 בפני עורך התסקיר</w:t>
      </w:r>
      <w:r>
        <w:rPr>
          <w:rtl w:val="true"/>
        </w:rPr>
        <w:t xml:space="preserve">, </w:t>
      </w:r>
      <w:r>
        <w:rPr>
          <w:rtl w:val="true"/>
        </w:rPr>
        <w:t>הודה הנאשם</w:t>
      </w:r>
      <w:r>
        <w:rPr>
          <w:rtl w:val="true"/>
        </w:rPr>
        <w:t xml:space="preserve">, </w:t>
      </w:r>
      <w:r>
        <w:rPr>
          <w:rtl w:val="true"/>
        </w:rPr>
        <w:t>בעובדות נשוא כתב האישום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נדרש הוא על ידי צעירים מ</w:t>
      </w:r>
      <w:r>
        <w:rPr>
          <w:rtl w:val="true"/>
        </w:rPr>
        <w:t>"</w:t>
      </w:r>
      <w:r>
        <w:rPr>
          <w:rtl w:val="true"/>
        </w:rPr>
        <w:t>החמולה</w:t>
      </w:r>
      <w:r>
        <w:rPr>
          <w:rtl w:val="true"/>
        </w:rPr>
        <w:t xml:space="preserve">" </w:t>
      </w:r>
      <w:r>
        <w:rPr>
          <w:rtl w:val="true"/>
        </w:rPr>
        <w:t>שלו להשליך את הרימון בגין הסכסוך שבין שתי ה</w:t>
      </w:r>
      <w:r>
        <w:rPr>
          <w:rtl w:val="true"/>
        </w:rPr>
        <w:t>"</w:t>
      </w:r>
      <w:r>
        <w:rPr>
          <w:rtl w:val="true"/>
        </w:rPr>
        <w:t>חמולות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טען הוא</w:t>
      </w:r>
      <w:r>
        <w:rPr>
          <w:rtl w:val="true"/>
        </w:rPr>
        <w:t xml:space="preserve">, </w:t>
      </w:r>
      <w:r>
        <w:rPr>
          <w:rtl w:val="true"/>
        </w:rPr>
        <w:t>בפני שרות המבחן</w:t>
      </w:r>
      <w:r>
        <w:rPr>
          <w:rtl w:val="true"/>
        </w:rPr>
        <w:t xml:space="preserve">, </w:t>
      </w:r>
      <w:r>
        <w:rPr>
          <w:rtl w:val="true"/>
        </w:rPr>
        <w:t>כי הופעל עליו לחץ חברתי לבצע את מעשה העבירה וכי חש שיפגע אם לא יבצע את המצופה ממנו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7</w:t>
      </w:r>
      <w:r>
        <w:rPr>
          <w:rtl w:val="true"/>
        </w:rPr>
        <w:t>.</w:t>
        <w:tab/>
      </w:r>
      <w:r>
        <w:rPr>
          <w:rtl w:val="true"/>
        </w:rPr>
        <w:t>עורך התסקיר</w:t>
      </w:r>
      <w:r>
        <w:rPr>
          <w:rtl w:val="true"/>
        </w:rPr>
        <w:t xml:space="preserve">, </w:t>
      </w:r>
      <w:r>
        <w:rPr>
          <w:rtl w:val="true"/>
        </w:rPr>
        <w:t xml:space="preserve">כי קיימת אצל הנאשם </w:t>
      </w:r>
      <w:r>
        <w:rPr>
          <w:rtl w:val="true"/>
        </w:rPr>
        <w:t>"</w:t>
      </w:r>
      <w:r>
        <w:rPr>
          <w:b/>
          <w:b/>
          <w:bCs/>
          <w:rtl w:val="true"/>
        </w:rPr>
        <w:t xml:space="preserve">לקות מסויימת 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</w:t>
      </w:r>
      <w:r>
        <w:rPr>
          <w:rtl w:val="true"/>
        </w:rPr>
        <w:t>והדבר בא לידי ביטוי גם בהתנהלותו מול שרות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קובע עורך התסקיר</w:t>
      </w:r>
      <w:r>
        <w:rPr>
          <w:rtl w:val="true"/>
        </w:rPr>
        <w:t xml:space="preserve">, </w:t>
      </w:r>
      <w:r>
        <w:rPr>
          <w:rtl w:val="true"/>
        </w:rPr>
        <w:t>כי הנאשם הינו בעל נטייה רבה לרצות את סביבתו וכאשר מופעל עליו לחץ חברתי</w:t>
      </w:r>
      <w:r>
        <w:rPr>
          <w:rtl w:val="true"/>
        </w:rPr>
        <w:t xml:space="preserve">, </w:t>
      </w:r>
      <w:r>
        <w:rPr>
          <w:rtl w:val="true"/>
        </w:rPr>
        <w:t>אזי מתקשה הוא להפעיל את שיקול דעתו ונוטה לפעול מתוך דחף רגעי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מדובר בבחור צעיר</w:t>
      </w:r>
      <w:r>
        <w:rPr>
          <w:rtl w:val="true"/>
        </w:rPr>
        <w:t xml:space="preserve">, </w:t>
      </w:r>
      <w:r>
        <w:rPr>
          <w:rtl w:val="true"/>
        </w:rPr>
        <w:t>בעל אישיות בלתי בשלה החשוף לגורמים עבריינים בסביבתו הקרובה</w:t>
      </w:r>
      <w:r>
        <w:rPr>
          <w:rtl w:val="true"/>
        </w:rPr>
        <w:t xml:space="preserve">, </w:t>
      </w:r>
      <w:r>
        <w:rPr>
          <w:rtl w:val="true"/>
        </w:rPr>
        <w:t>דבר המגביר את הסיכון להישנות מעורבות פלילית נוספת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לצד האמור</w:t>
      </w:r>
      <w:r>
        <w:rPr>
          <w:rtl w:val="true"/>
        </w:rPr>
        <w:t xml:space="preserve">, </w:t>
      </w:r>
      <w:r>
        <w:rPr>
          <w:rtl w:val="true"/>
        </w:rPr>
        <w:t>קובע עורך התסקיר</w:t>
      </w:r>
      <w:r>
        <w:rPr>
          <w:rtl w:val="true"/>
        </w:rPr>
        <w:t xml:space="preserve">, </w:t>
      </w:r>
      <w:r>
        <w:rPr>
          <w:rtl w:val="true"/>
        </w:rPr>
        <w:t>כי התרשמותו היא שלנאשם רצון לשמור על דרך הישר ולהימנע ממעורבות פלילית 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 בסיס כל האמור</w:t>
      </w:r>
      <w:r>
        <w:rPr>
          <w:rtl w:val="true"/>
        </w:rPr>
        <w:t xml:space="preserve">, </w:t>
      </w:r>
      <w:r>
        <w:rPr>
          <w:rtl w:val="true"/>
        </w:rPr>
        <w:t>ומשהביע הנאשם רצון ונכונות להשתלב בהליך טיפולי</w:t>
      </w:r>
      <w:r>
        <w:rPr>
          <w:rtl w:val="true"/>
        </w:rPr>
        <w:t xml:space="preserve">, </w:t>
      </w:r>
      <w:r>
        <w:rPr>
          <w:rtl w:val="true"/>
        </w:rPr>
        <w:t>בא עורך התסקיר בהמלצה להטיל עליו צו מבחן למשך שנתיים וכן להשית עליו צו של של</w:t>
      </w:r>
      <w:r>
        <w:rPr>
          <w:rtl w:val="true"/>
        </w:rPr>
        <w:t>"</w:t>
      </w:r>
      <w:r>
        <w:rPr>
          <w:rtl w:val="true"/>
        </w:rPr>
        <w:t xml:space="preserve">צ בהיקף של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שרות המבחן מבקש להדגיש</w:t>
      </w:r>
      <w:r>
        <w:rPr>
          <w:rtl w:val="true"/>
        </w:rPr>
        <w:t xml:space="preserve">, </w:t>
      </w:r>
      <w:r>
        <w:rPr>
          <w:rtl w:val="true"/>
        </w:rPr>
        <w:t>כי לפי התרשמותו</w:t>
      </w:r>
      <w:r>
        <w:rPr>
          <w:rtl w:val="true"/>
        </w:rPr>
        <w:t xml:space="preserve">, </w:t>
      </w:r>
      <w:r>
        <w:rPr>
          <w:rtl w:val="true"/>
        </w:rPr>
        <w:t>עונש של מאסר בפועל עלול להיות בעל השפעה נפשית קשה על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9</w:t>
      </w:r>
      <w:r>
        <w:rPr>
          <w:rtl w:val="true"/>
        </w:rPr>
        <w:t>.</w:t>
        <w:tab/>
      </w:r>
      <w:r>
        <w:rPr>
          <w:rtl w:val="true"/>
        </w:rPr>
        <w:t>באת כוח המאשימה עמדה על המסוכנות הטבועה במעשיו של הנאשם ועל חומרת העבירות אותן ביצע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10</w:t>
      </w:r>
      <w:r>
        <w:rPr>
          <w:rtl w:val="true"/>
        </w:rPr>
        <w:t>.</w:t>
        <w:tab/>
      </w:r>
      <w:r>
        <w:rPr>
          <w:rtl w:val="true"/>
        </w:rPr>
        <w:t>חומרה יתרה נודעת לעבירות אלו</w:t>
      </w:r>
      <w:r>
        <w:rPr>
          <w:rtl w:val="true"/>
        </w:rPr>
        <w:t xml:space="preserve">, </w:t>
      </w:r>
      <w:r>
        <w:rPr>
          <w:rtl w:val="true"/>
        </w:rPr>
        <w:t>כך 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שעה שאלו בוצעו ברימון הלם אשר נחשב כנשק לכל דבר ועניין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משכך ובהינתן העובדה שבעבירות בנשק מדובר</w:t>
      </w:r>
      <w:r>
        <w:rPr>
          <w:rtl w:val="true"/>
        </w:rPr>
        <w:t xml:space="preserve">, </w:t>
      </w:r>
      <w:r>
        <w:rPr>
          <w:rtl w:val="true"/>
        </w:rPr>
        <w:t>מפנה ב</w:t>
      </w:r>
      <w:r>
        <w:rPr>
          <w:rtl w:val="true"/>
        </w:rPr>
        <w:t>"</w:t>
      </w:r>
      <w:r>
        <w:rPr>
          <w:rtl w:val="true"/>
        </w:rPr>
        <w:t>כ המאשימה למגמת הפסיקה בעת האחרונה</w:t>
      </w:r>
      <w:r>
        <w:rPr>
          <w:rtl w:val="true"/>
        </w:rPr>
        <w:t xml:space="preserve">, </w:t>
      </w:r>
      <w:r>
        <w:rPr>
          <w:rtl w:val="true"/>
        </w:rPr>
        <w:t>להחמרה ניכרת בעונשם של המורשעים בעבירות נשק</w:t>
      </w:r>
      <w:r>
        <w:rPr>
          <w:rtl w:val="true"/>
        </w:rPr>
        <w:t xml:space="preserve">, </w:t>
      </w:r>
      <w:r>
        <w:rPr>
          <w:rtl w:val="true"/>
        </w:rPr>
        <w:t>גם מקום בו מדובר בנאשמים ללא עבר פלילי</w:t>
      </w:r>
      <w:r>
        <w:rPr>
          <w:rtl w:val="true"/>
        </w:rPr>
        <w:t xml:space="preserve">, </w:t>
      </w:r>
      <w:r>
        <w:rPr>
          <w:rtl w:val="true"/>
        </w:rPr>
        <w:t>או בנאשמים בעלי נסיבות אישיות קשות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11</w:t>
      </w:r>
      <w:r>
        <w:rPr>
          <w:rtl w:val="true"/>
        </w:rPr>
        <w:t>.</w:t>
        <w:tab/>
      </w:r>
      <w:r>
        <w:rPr>
          <w:rtl w:val="true"/>
        </w:rPr>
        <w:t>באשר להמלצת שרות המבחן</w:t>
      </w:r>
      <w:r>
        <w:rPr>
          <w:rtl w:val="true"/>
        </w:rPr>
        <w:t xml:space="preserve">, </w:t>
      </w:r>
      <w:r>
        <w:rPr>
          <w:rtl w:val="true"/>
        </w:rPr>
        <w:t>הרי שלטענתה של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המלצה זו אינה חזות הכל</w:t>
      </w:r>
      <w:r>
        <w:rPr>
          <w:rtl w:val="true"/>
        </w:rPr>
        <w:t xml:space="preserve">. </w:t>
      </w:r>
      <w:r>
        <w:rPr>
          <w:rtl w:val="true"/>
        </w:rPr>
        <w:t>לבד מהשיקולים של שיקום הנאשם</w:t>
      </w:r>
      <w:r>
        <w:rPr>
          <w:rtl w:val="true"/>
        </w:rPr>
        <w:t xml:space="preserve">, </w:t>
      </w:r>
      <w:r>
        <w:rPr>
          <w:rtl w:val="true"/>
        </w:rPr>
        <w:t>יש להתחשב גם בשיקולי הענישה האחרים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לטענתה אפוא</w:t>
      </w:r>
      <w:r>
        <w:rPr>
          <w:rtl w:val="true"/>
        </w:rPr>
        <w:t xml:space="preserve">, </w:t>
      </w:r>
      <w:r>
        <w:rPr>
          <w:rtl w:val="true"/>
        </w:rPr>
        <w:t>דינו של האינטרס הציבורי להיות על העליונה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יש להשית על הנאשם עונש מרתיע של מאסר 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לעומתה</w:t>
      </w:r>
      <w:r>
        <w:rPr>
          <w:rtl w:val="true"/>
        </w:rPr>
        <w:t xml:space="preserve">, </w:t>
      </w:r>
      <w:r>
        <w:rPr>
          <w:rtl w:val="true"/>
        </w:rPr>
        <w:t>מבקש לאמץ את תסקיר שרות המבחן ולהסתפק</w:t>
      </w:r>
      <w:r>
        <w:rPr>
          <w:rtl w:val="true"/>
        </w:rPr>
        <w:t xml:space="preserve">, </w:t>
      </w:r>
      <w:r>
        <w:rPr>
          <w:rtl w:val="true"/>
        </w:rPr>
        <w:t>לעניין הענישה</w:t>
      </w:r>
      <w:r>
        <w:rPr>
          <w:rtl w:val="true"/>
        </w:rPr>
        <w:t xml:space="preserve">, </w:t>
      </w:r>
      <w:r>
        <w:rPr>
          <w:rtl w:val="true"/>
        </w:rPr>
        <w:t>באמור 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עוד מבקש ב</w:t>
      </w:r>
      <w:r>
        <w:rPr>
          <w:rtl w:val="true"/>
        </w:rPr>
        <w:t>"</w:t>
      </w:r>
      <w:r>
        <w:rPr>
          <w:rtl w:val="true"/>
        </w:rPr>
        <w:t>כ הנאשם להתחשב בעובדה</w:t>
      </w:r>
      <w:r>
        <w:rPr>
          <w:rtl w:val="true"/>
        </w:rPr>
        <w:t xml:space="preserve">, </w:t>
      </w:r>
      <w:r>
        <w:rPr>
          <w:rtl w:val="true"/>
        </w:rPr>
        <w:t>כי הנאשם הודה</w:t>
      </w:r>
      <w:r>
        <w:rPr>
          <w:rtl w:val="true"/>
        </w:rPr>
        <w:t xml:space="preserve">, </w:t>
      </w:r>
      <w:r>
        <w:rPr>
          <w:rtl w:val="true"/>
        </w:rPr>
        <w:t>קיבל אחריות מלאה למעשיו</w:t>
      </w:r>
      <w:r>
        <w:rPr>
          <w:rtl w:val="true"/>
        </w:rPr>
        <w:t xml:space="preserve">, </w:t>
      </w:r>
      <w:r>
        <w:rPr>
          <w:rtl w:val="true"/>
        </w:rPr>
        <w:t>והינו נעדר עבר פלילי מכל מין וסוג כלשהו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 לטענתו וכאמור בתסקיר</w:t>
      </w:r>
      <w:r>
        <w:rPr>
          <w:rtl w:val="true"/>
        </w:rPr>
        <w:t xml:space="preserve">, </w:t>
      </w:r>
      <w:r>
        <w:rPr>
          <w:rtl w:val="true"/>
        </w:rPr>
        <w:t>ביצע את העבירות המיוחסות לו</w:t>
      </w:r>
      <w:r>
        <w:rPr>
          <w:rtl w:val="true"/>
        </w:rPr>
        <w:t xml:space="preserve">, </w:t>
      </w:r>
      <w:r>
        <w:rPr>
          <w:rtl w:val="true"/>
        </w:rPr>
        <w:t>מתוך רצון לרצות אחרים</w:t>
      </w:r>
      <w:r>
        <w:rPr>
          <w:rtl w:val="true"/>
        </w:rPr>
        <w:t xml:space="preserve">, </w:t>
      </w:r>
      <w:r>
        <w:rPr>
          <w:rtl w:val="true"/>
        </w:rPr>
        <w:t>ועתה השכיל להבין את הפסול והפגם שבמעשהו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משכך דווקא האינטרס הציבורי</w:t>
      </w:r>
      <w:r>
        <w:rPr>
          <w:rtl w:val="true"/>
        </w:rPr>
        <w:t xml:space="preserve">, </w:t>
      </w:r>
      <w:r>
        <w:rPr>
          <w:rtl w:val="true"/>
        </w:rPr>
        <w:t>כך לטענתו של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מצדיק מתן אפשרות מלאה לשיקומו של הנאשם בפיקוחו של שרות המבחן</w:t>
      </w:r>
      <w:r>
        <w:rPr>
          <w:rtl w:val="true"/>
        </w:rPr>
        <w:t xml:space="preserve">, </w:t>
      </w:r>
      <w:r>
        <w:rPr>
          <w:rtl w:val="true"/>
        </w:rPr>
        <w:t>על מנת שזה יחדד בעבורו את הגבול בין המותר לאסור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14</w:t>
      </w:r>
      <w:r>
        <w:rPr>
          <w:rtl w:val="true"/>
        </w:rPr>
        <w:t>.</w:t>
        <w:tab/>
      </w:r>
      <w:r>
        <w:rPr>
          <w:rtl w:val="true"/>
        </w:rPr>
        <w:t>עוד טוען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כי הגם שהנאשם הודה בניסיון לפציעה בנסיבות מחמירות</w:t>
      </w:r>
      <w:r>
        <w:rPr>
          <w:rtl w:val="true"/>
        </w:rPr>
        <w:t xml:space="preserve">, </w:t>
      </w:r>
      <w:r>
        <w:rPr>
          <w:rtl w:val="true"/>
        </w:rPr>
        <w:t>הרי שסופו של דבר</w:t>
      </w:r>
      <w:r>
        <w:rPr>
          <w:rtl w:val="true"/>
        </w:rPr>
        <w:t xml:space="preserve">, </w:t>
      </w:r>
      <w:r>
        <w:rPr>
          <w:rtl w:val="true"/>
        </w:rPr>
        <w:t>לא נגרם כל נזק כתוצאה מהשלכת הרימון</w:t>
      </w:r>
      <w:r>
        <w:rPr>
          <w:rtl w:val="true"/>
        </w:rPr>
        <w:t xml:space="preserve">, </w:t>
      </w:r>
      <w:r>
        <w:rPr>
          <w:rtl w:val="true"/>
        </w:rPr>
        <w:t>מה גם שרימון הלם מטיבו אינו מסוגל לגרום לנזק של 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15</w:t>
      </w:r>
      <w:r>
        <w:rPr>
          <w:rtl w:val="true"/>
        </w:rPr>
        <w:t>.</w:t>
        <w:tab/>
      </w:r>
      <w:r>
        <w:rPr>
          <w:rtl w:val="true"/>
        </w:rPr>
        <w:t>עוד הפנה ב</w:t>
      </w:r>
      <w:r>
        <w:rPr>
          <w:rtl w:val="true"/>
        </w:rPr>
        <w:t>"</w:t>
      </w:r>
      <w:r>
        <w:rPr>
          <w:rtl w:val="true"/>
        </w:rPr>
        <w:t>כ הנאשם ל</w:t>
      </w:r>
      <w:r>
        <w:rPr>
          <w:rtl w:val="true"/>
        </w:rPr>
        <w:t>"</w:t>
      </w:r>
      <w:r>
        <w:rPr>
          <w:b/>
          <w:b/>
          <w:bCs/>
          <w:rtl w:val="true"/>
        </w:rPr>
        <w:t>הסכם הסולחה</w:t>
      </w:r>
      <w:r>
        <w:rPr>
          <w:rtl w:val="true"/>
        </w:rPr>
        <w:t xml:space="preserve">" </w:t>
      </w:r>
      <w:r>
        <w:rPr>
          <w:rtl w:val="true"/>
        </w:rPr>
        <w:t xml:space="preserve">שנערך בין שתי המשפחות היריבות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דבר המאיין מסוכנות עתידית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16</w:t>
      </w:r>
      <w:r>
        <w:rPr>
          <w:rtl w:val="true"/>
        </w:rPr>
        <w:t>.</w:t>
        <w:tab/>
      </w:r>
      <w:r>
        <w:rPr>
          <w:rtl w:val="true"/>
        </w:rPr>
        <w:t>הנאשם בדבריו בפני בית המשפט התנצל על מעשיו</w:t>
      </w:r>
      <w:r>
        <w:rPr>
          <w:rtl w:val="true"/>
        </w:rPr>
        <w:t xml:space="preserve">, </w:t>
      </w:r>
      <w:r>
        <w:rPr>
          <w:rtl w:val="true"/>
        </w:rPr>
        <w:t xml:space="preserve">הסביר כי עשה זאת כדבריו משום </w:t>
      </w:r>
      <w:r>
        <w:rPr>
          <w:rtl w:val="true"/>
        </w:rPr>
        <w:t>"</w:t>
      </w:r>
      <w:r>
        <w:rPr>
          <w:b/>
          <w:b/>
          <w:bCs/>
          <w:rtl w:val="true"/>
        </w:rPr>
        <w:t>שהיה לו לחץ על הראש והייתי ילד</w:t>
      </w:r>
      <w:r>
        <w:rPr>
          <w:rtl w:val="true"/>
        </w:rPr>
        <w:t xml:space="preserve">". </w:t>
      </w:r>
      <w:r>
        <w:rPr>
          <w:rtl w:val="true"/>
        </w:rPr>
        <w:t>עוד התחייב הנאשם</w:t>
      </w:r>
      <w:r>
        <w:rPr>
          <w:rtl w:val="true"/>
        </w:rPr>
        <w:t xml:space="preserve">, </w:t>
      </w:r>
      <w:r>
        <w:rPr>
          <w:rtl w:val="true"/>
        </w:rPr>
        <w:t>כי מכאן ולהבא לא ישוב לבצע 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 xml:space="preserve">שיקולי ענישה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17</w:t>
      </w:r>
      <w:r>
        <w:rPr>
          <w:rtl w:val="true"/>
        </w:rPr>
        <w:t>.</w:t>
      </w:r>
      <w:r>
        <w:rPr>
          <w:rStyle w:val="normal-h1"/>
          <w:rtl w:val="true"/>
        </w:rPr>
        <w:tab/>
      </w:r>
      <w:r>
        <w:rPr>
          <w:rStyle w:val="normal-h1"/>
          <w:rtl w:val="true"/>
        </w:rPr>
        <w:t>במלאכת הטלת העונש מעורבים שיקולים רבים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לעיתים מנוגדים זה לזה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 xml:space="preserve">ראה לדוגמא </w:t>
      </w:r>
      <w:hyperlink r:id="rId18">
        <w:r>
          <w:rPr>
            <w:rStyle w:val="Hyperlink"/>
            <w:rFonts w:ascii="Times New Roman" w:hAnsi="Times New Roman" w:cs="Times New Roman"/>
            <w:sz w:val="20"/>
            <w:sz w:val="20"/>
            <w:szCs w:val="20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z w:val="20"/>
            <w:szCs w:val="20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z w:val="20"/>
            <w:sz w:val="20"/>
            <w:szCs w:val="20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z w:val="20"/>
            <w:szCs w:val="20"/>
          </w:rPr>
          <w:t>4272/04</w:t>
        </w:r>
      </w:hyperlink>
      <w:r>
        <w:rPr>
          <w:rStyle w:val="normal-h1"/>
          <w:rtl w:val="true"/>
        </w:rPr>
        <w:t xml:space="preserve"> </w:t>
      </w:r>
      <w:r>
        <w:rPr>
          <w:rStyle w:val="normal-h1"/>
          <w:u w:val="single"/>
          <w:rtl w:val="true"/>
        </w:rPr>
        <w:t>פלוני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נ</w:t>
      </w:r>
      <w:r>
        <w:rPr>
          <w:rStyle w:val="normal-h1"/>
          <w:rtl w:val="true"/>
        </w:rPr>
        <w:t xml:space="preserve">' </w:t>
      </w:r>
      <w:r>
        <w:rPr>
          <w:rStyle w:val="normal-h1"/>
          <w:u w:val="single"/>
          <w:rtl w:val="true"/>
        </w:rPr>
        <w:t>מדינת ישראל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וכדלהלן</w:t>
      </w:r>
      <w:r>
        <w:rPr>
          <w:rStyle w:val="normal-h1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"/>
        <w:tabs>
          <w:tab w:val="clear" w:pos="720"/>
          <w:tab w:val="left" w:pos="7304" w:leader="none"/>
          <w:tab w:val="left" w:pos="7664" w:leader="none"/>
        </w:tabs>
        <w:spacing w:lineRule="auto" w:line="360"/>
        <w:ind w:start="1184" w:end="1080"/>
        <w:jc w:val="both"/>
        <w:rPr/>
      </w:pPr>
      <w:r>
        <w:rPr>
          <w:rStyle w:val="normal-h1"/>
          <w:rtl w:val="true"/>
        </w:rPr>
        <w:t>"</w:t>
      </w:r>
      <w:r>
        <w:rPr>
          <w:rStyle w:val="normal-h1"/>
          <w:b/>
          <w:b/>
          <w:bCs/>
          <w:rtl w:val="true"/>
        </w:rPr>
        <w:t>במלאכת גזירת העונש משמשים מספר שיקולים אחדים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כללים ואינדיבידואלים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אשר יש ליתן להם ביטוי ולאזן ביניהם</w:t>
      </w:r>
      <w:r>
        <w:rPr>
          <w:rStyle w:val="normal-h1"/>
          <w:b/>
          <w:bCs/>
          <w:rtl w:val="true"/>
        </w:rPr>
        <w:t xml:space="preserve">. </w:t>
      </w:r>
      <w:r>
        <w:rPr>
          <w:rStyle w:val="normal-h1"/>
          <w:b/>
          <w:b/>
          <w:bCs/>
          <w:rtl w:val="true"/>
        </w:rPr>
        <w:t>על שיקולים אלה נמנים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בין היתר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חומרת העבירה ומהותה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הרתעה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מניעה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גמול ושיקום העבריין מקום שבו הדבר אפשרי</w:t>
      </w:r>
      <w:r>
        <w:rPr>
          <w:rStyle w:val="normal-h1"/>
          <w:b/>
          <w:bCs/>
          <w:rtl w:val="true"/>
        </w:rPr>
        <w:t xml:space="preserve">. </w:t>
      </w:r>
      <w:r>
        <w:rPr>
          <w:rStyle w:val="normal-h1"/>
          <w:b/>
          <w:b/>
          <w:bCs/>
          <w:rtl w:val="true"/>
        </w:rPr>
        <w:t>משקלם היחסי של שיקולים אלה איננו זהה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והוא משתנה ממקרה אחד למשנהו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 xml:space="preserve">לפי הנאשם ולפי נסיבותיו הספציפיות </w:t>
      </w:r>
      <w:r>
        <w:rPr>
          <w:rStyle w:val="normal-h1"/>
          <w:b/>
          <w:bCs/>
          <w:rtl w:val="true"/>
        </w:rPr>
        <w:t>...".</w:t>
      </w:r>
      <w:r>
        <w:rPr>
          <w:rStyle w:val="normal-h1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h1"/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Style w:val="normal-h1"/>
          <w:rtl w:val="true"/>
        </w:rPr>
        <w:t xml:space="preserve">          </w:t>
      </w:r>
      <w:r>
        <w:rPr>
          <w:rStyle w:val="normal-h1"/>
          <w:rtl w:val="true"/>
        </w:rPr>
        <w:tab/>
      </w:r>
      <w:r>
        <w:rPr>
          <w:rStyle w:val="normal-h1"/>
          <w:rtl w:val="true"/>
        </w:rPr>
        <w:t>עוד ראה דברים שנאמרו על ידי כב</w:t>
      </w:r>
      <w:r>
        <w:rPr>
          <w:rStyle w:val="normal-h1"/>
          <w:rtl w:val="true"/>
        </w:rPr>
        <w:t xml:space="preserve">' </w:t>
      </w:r>
      <w:r>
        <w:rPr>
          <w:rStyle w:val="normal-h1"/>
          <w:rtl w:val="true"/>
        </w:rPr>
        <w:t xml:space="preserve">השופטת בייניש </w:t>
      </w:r>
      <w:r>
        <w:rPr>
          <w:rStyle w:val="normal-h1"/>
          <w:rtl w:val="true"/>
        </w:rPr>
        <w:t>(</w:t>
      </w:r>
      <w:r>
        <w:rPr>
          <w:rStyle w:val="normal-h1"/>
          <w:rtl w:val="true"/>
        </w:rPr>
        <w:t>כתוארה אז</w:t>
      </w:r>
      <w:r>
        <w:rPr>
          <w:rStyle w:val="normal-h1"/>
          <w:rtl w:val="true"/>
        </w:rPr>
        <w:t xml:space="preserve">) </w:t>
      </w:r>
      <w:r>
        <w:rPr>
          <w:rStyle w:val="normal-h1"/>
          <w:rtl w:val="true"/>
        </w:rPr>
        <w:t>ב</w:t>
      </w:r>
      <w:hyperlink r:id="rId19">
        <w:r>
          <w:rPr>
            <w:rStyle w:val="Hyperlink"/>
            <w:rFonts w:ascii="Times New Roman" w:hAnsi="Times New Roman" w:cs="Times New Roman"/>
            <w:sz w:val="20"/>
            <w:sz w:val="20"/>
            <w:szCs w:val="20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z w:val="20"/>
            <w:szCs w:val="20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z w:val="20"/>
            <w:sz w:val="20"/>
            <w:szCs w:val="20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z w:val="20"/>
            <w:szCs w:val="20"/>
          </w:rPr>
          <w:t>4890/01</w:t>
        </w:r>
      </w:hyperlink>
      <w:r>
        <w:rPr>
          <w:rStyle w:val="normal-h1"/>
          <w:rtl w:val="true"/>
        </w:rPr>
        <w:t xml:space="preserve"> </w:t>
      </w:r>
      <w:r>
        <w:rPr>
          <w:rStyle w:val="normal-h1"/>
          <w:u w:val="single"/>
          <w:rtl w:val="true"/>
        </w:rPr>
        <w:t>מדינת ישראל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נ</w:t>
      </w:r>
      <w:r>
        <w:rPr>
          <w:rStyle w:val="normal-h1"/>
          <w:rtl w:val="true"/>
        </w:rPr>
        <w:t xml:space="preserve">' </w:t>
      </w:r>
      <w:r>
        <w:rPr>
          <w:rStyle w:val="normal-h1"/>
          <w:u w:val="single"/>
          <w:rtl w:val="true"/>
        </w:rPr>
        <w:t>פלוני</w:t>
      </w:r>
      <w:r>
        <w:rPr>
          <w:rStyle w:val="normal-h1"/>
          <w:rtl w:val="true"/>
        </w:rPr>
        <w:t>;</w:t>
      </w:r>
      <w:r>
        <w:rPr>
          <w:rStyle w:val="normal-h1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 xml:space="preserve"> </w:t>
      </w:r>
    </w:p>
    <w:p>
      <w:pPr>
        <w:pStyle w:val="Normal"/>
        <w:spacing w:lineRule="auto" w:line="360"/>
        <w:ind w:start="1184" w:end="1080"/>
        <w:jc w:val="both"/>
        <w:rPr/>
      </w:pPr>
      <w:r>
        <w:rPr>
          <w:rStyle w:val="normal-h1"/>
          <w:rtl w:val="true"/>
        </w:rPr>
        <w:t>"</w:t>
      </w:r>
      <w:r>
        <w:rPr>
          <w:rStyle w:val="normal-h1"/>
          <w:b/>
          <w:b/>
          <w:bCs/>
          <w:rtl w:val="true"/>
        </w:rPr>
        <w:t>יסודו של מודל הענישה בארץ הוא מודל מעורב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שחוברים בו יחד שיקולי הענישה השונים</w:t>
      </w:r>
      <w:r>
        <w:rPr>
          <w:rStyle w:val="normal-h1"/>
          <w:b/>
          <w:bCs/>
          <w:rtl w:val="true"/>
        </w:rPr>
        <w:t xml:space="preserve">; </w:t>
      </w:r>
      <w:r>
        <w:rPr>
          <w:rStyle w:val="normal-h1"/>
          <w:b/>
          <w:b/>
          <w:bCs/>
          <w:rtl w:val="true"/>
        </w:rPr>
        <w:t>הגמול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ההרתעה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השיקום והמניעה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 xml:space="preserve">ובכל מקרה ומקרה מוטלים על השופטים החובה לערוך את האיזון ביניהם </w:t>
      </w:r>
      <w:r>
        <w:rPr>
          <w:rStyle w:val="normal-h1"/>
          <w:b/>
          <w:bCs/>
          <w:rtl w:val="true"/>
        </w:rPr>
        <w:t xml:space="preserve">... </w:t>
      </w:r>
      <w:r>
        <w:rPr>
          <w:rStyle w:val="normal-h1"/>
          <w:b/>
          <w:b/>
          <w:bCs/>
          <w:rtl w:val="true"/>
        </w:rPr>
        <w:t>מקום חשוב נודע לשיקולי שיקומם של עבריינים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בייחוד כאשר מדובר בקטינים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אולם אף שמשקלם של שיקולים אלה הוא רב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הרי הם רק חלק ממכלול השיקולים שעל בית המשפט לשקול בבואו לגזור את דינו של נאשם</w:t>
      </w:r>
      <w:r>
        <w:rPr>
          <w:rStyle w:val="normal-h1"/>
          <w:b/>
          <w:bCs/>
          <w:rtl w:val="true"/>
        </w:rPr>
        <w:t xml:space="preserve">. </w:t>
      </w:r>
      <w:r>
        <w:rPr>
          <w:rStyle w:val="normal-h1"/>
          <w:b/>
          <w:b/>
          <w:bCs/>
          <w:rtl w:val="true"/>
        </w:rPr>
        <w:t>כך למשך מקום שבו עבריין מסוכן לציבור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 xml:space="preserve">תגבר החובה המוטלת על בית המשפט להגן על הציבור מפניו על השיקולים של תיקון העבריין ושיקומו </w:t>
      </w:r>
      <w:r>
        <w:rPr>
          <w:rStyle w:val="normal-h1"/>
          <w:b/>
          <w:bCs/>
          <w:rtl w:val="true"/>
        </w:rPr>
        <w:t xml:space="preserve">... </w:t>
      </w:r>
      <w:r>
        <w:rPr>
          <w:rStyle w:val="normal-h1"/>
          <w:b/>
          <w:b/>
          <w:bCs/>
          <w:rtl w:val="true"/>
        </w:rPr>
        <w:t>מטרת הענישה איננה נקמה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אך אחת ממטרות הענישה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גם אם לא העיקרית שבהן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היא לתת ביטוי להרגשה הקולקטיבית של סלידה כלפי מעשים מסוימים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 xml:space="preserve">אף במקרים שבהם אין נשקפת עוד סכנה מהנאשם לציבור </w:t>
      </w:r>
      <w:r>
        <w:rPr>
          <w:rStyle w:val="normal-h1"/>
          <w:b/>
          <w:bCs/>
          <w:rtl w:val="true"/>
        </w:rPr>
        <w:t xml:space="preserve">...".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 xml:space="preserve">   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עוד ראה דברים שנאמרו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 ידי כבוד השופט דנציגר ב</w:t>
      </w:r>
      <w:hyperlink r:id="rId2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3173/09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מוחמד פראגין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 ישראל</w:t>
      </w:r>
      <w:r>
        <w:rPr>
          <w:b/>
          <w:bCs/>
          <w:color w:val="000000"/>
          <w:rtl w:val="true"/>
        </w:rPr>
        <w:t>,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פורסם בנבו</w:t>
      </w:r>
      <w:r>
        <w:rPr>
          <w:color w:val="000000"/>
          <w:rtl w:val="true"/>
        </w:rPr>
        <w:t>, (</w:t>
      </w:r>
      <w:r>
        <w:rPr>
          <w:color w:val="000000"/>
        </w:rPr>
        <w:t>2009</w:t>
      </w:r>
      <w:r>
        <w:rPr>
          <w:color w:val="000000"/>
          <w:rtl w:val="true"/>
        </w:rPr>
        <w:t xml:space="preserve">)) </w:t>
      </w:r>
      <w:r>
        <w:rPr>
          <w:color w:val="000000"/>
          <w:rtl w:val="true"/>
        </w:rPr>
        <w:t>וכדלהלן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 xml:space="preserve">  </w:t>
      </w:r>
    </w:p>
    <w:p>
      <w:pPr>
        <w:pStyle w:val="Normal"/>
        <w:spacing w:lineRule="auto" w:line="360"/>
        <w:ind w:start="1106" w:end="1080"/>
        <w:jc w:val="both"/>
        <w:rPr>
          <w:color w:val="000000"/>
        </w:rPr>
      </w:pPr>
      <w:r>
        <w:rPr>
          <w:color w:val="000000"/>
          <w:rtl w:val="true"/>
        </w:rPr>
        <w:t xml:space="preserve">" </w:t>
      </w:r>
      <w:r>
        <w:rPr>
          <w:b/>
          <w:bCs/>
          <w:color w:val="000000"/>
          <w:rtl w:val="true"/>
        </w:rPr>
        <w:t xml:space="preserve">... </w:t>
      </w:r>
      <w:r>
        <w:rPr>
          <w:b/>
          <w:b/>
          <w:bCs/>
          <w:color w:val="000000"/>
          <w:rtl w:val="true"/>
        </w:rPr>
        <w:t>על פי עקרון זה בבוא בית המשפט לגזור את דינו של נאשם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שומה עליו להפעיל את שיקול דעתו ולבחון כל מקרה לגופו של עניין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תוך התחשבות בנסיבותיו האישיות של הנאשם ועברו הפלילי ולאזנם אל מול נסיבות ביצוע העבירה וחומרתה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אין להפעיל אמת מידה עונשית זהה לגבי כל נאשם ונאשם שכן נבדלים הם ביניהם בנסיבותיהם האישיות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בעברם הפלילי ובנסיבות ביצוע העבירה וחומרתה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אכן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עקרון אחידות הענישה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הנגזר מעקרון השוויון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מחייב את בתי המשפט לנהוג כלפי נאשמים בשוויון מלא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אך שוויון זה יפה רק מקום בו מאפייניהם של הנאשם והעבירה זהים הם ולא מקום בו עולה שוני רלוונטי </w:t>
      </w:r>
      <w:r>
        <w:rPr>
          <w:b/>
          <w:bCs/>
          <w:color w:val="000000"/>
          <w:rtl w:val="true"/>
        </w:rPr>
        <w:t>...".</w:t>
      </w:r>
      <w:r>
        <w:rPr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 xml:space="preserve">עוד ראה 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2163/05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דג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מיל אלייב 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 ישראל</w:t>
      </w:r>
      <w:r>
        <w:rPr>
          <w:color w:val="000000"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1106" w:end="1200"/>
        <w:jc w:val="both"/>
        <w:rPr>
          <w:color w:val="000000"/>
        </w:rPr>
      </w:pPr>
      <w:r>
        <w:rPr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הענישה הספציפית היא כמובן אינדיבידואלית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בכל מקרה לגופו ולנסיבותיו</w:t>
      </w:r>
      <w:r>
        <w:rPr>
          <w:b/>
          <w:bCs/>
          <w:color w:val="000000"/>
          <w:rtl w:val="true"/>
        </w:rPr>
        <w:t xml:space="preserve">; </w:t>
      </w:r>
      <w:r>
        <w:rPr>
          <w:b/>
          <w:b/>
          <w:bCs/>
          <w:color w:val="000000"/>
          <w:rtl w:val="true"/>
        </w:rPr>
        <w:t>לא אחת הנאשמים באים עצמם מרקע קשה המצדיק התחשבות</w:t>
      </w:r>
      <w:r>
        <w:rPr>
          <w:b/>
          <w:bCs/>
          <w:color w:val="000000"/>
          <w:rtl w:val="true"/>
        </w:rPr>
        <w:t xml:space="preserve">; </w:t>
      </w:r>
      <w:r>
        <w:rPr>
          <w:b/>
          <w:b/>
          <w:bCs/>
          <w:color w:val="000000"/>
          <w:rtl w:val="true"/>
        </w:rPr>
        <w:t>אך המחוקק והפסיקה רואים לנגד עיניהם גם את הקרבנות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קרבנות בפועל וקרבנות פוטנציאליים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את היחיד שאיתרע מזלו להיות קרבן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ואת כלל החברה החושש כי ירבו קרבנות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מלאכת האיזון מין מכלול השיקולים אינה קלה</w:t>
      </w:r>
      <w:r>
        <w:rPr>
          <w:b/>
          <w:bCs/>
          <w:color w:val="000000"/>
          <w:rtl w:val="true"/>
        </w:rPr>
        <w:t>"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18</w:t>
      </w:r>
      <w:r>
        <w:rPr>
          <w:rtl w:val="true"/>
        </w:rPr>
        <w:t>.</w:t>
        <w:tab/>
      </w:r>
      <w:r>
        <w:rPr>
          <w:rtl w:val="true"/>
        </w:rPr>
        <w:t>עוד אבקש להפנות לשיקולים</w:t>
      </w:r>
      <w:r>
        <w:rPr>
          <w:rtl w:val="true"/>
        </w:rPr>
        <w:t xml:space="preserve">, </w:t>
      </w:r>
      <w:r>
        <w:rPr>
          <w:rtl w:val="true"/>
        </w:rPr>
        <w:t>לעניין תורת הענישה</w:t>
      </w:r>
      <w:r>
        <w:rPr>
          <w:rtl w:val="true"/>
        </w:rPr>
        <w:t xml:space="preserve">, </w:t>
      </w:r>
      <w:r>
        <w:rPr>
          <w:rtl w:val="true"/>
        </w:rPr>
        <w:t>אותם מנה הרמב</w:t>
      </w:r>
      <w:r>
        <w:rPr>
          <w:rtl w:val="true"/>
        </w:rPr>
        <w:t>"</w:t>
      </w:r>
      <w:r>
        <w:rPr>
          <w:rtl w:val="true"/>
        </w:rPr>
        <w:t>ם בספרו</w:t>
      </w:r>
      <w:r>
        <w:rPr>
          <w:rtl w:val="true"/>
        </w:rPr>
        <w:t>, "</w:t>
      </w:r>
      <w:r>
        <w:rPr>
          <w:b/>
          <w:b/>
          <w:bCs/>
          <w:rtl w:val="true"/>
        </w:rPr>
        <w:t xml:space="preserve">מורה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נבוכים</w:t>
      </w:r>
      <w:r>
        <w:rPr>
          <w:rtl w:val="true"/>
        </w:rPr>
        <w:t xml:space="preserve">" </w:t>
      </w:r>
      <w:r>
        <w:rPr>
          <w:rtl w:val="true"/>
        </w:rPr>
        <w:t>וכדלהלן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1106" w:end="90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06" w:end="1080"/>
        <w:jc w:val="both"/>
        <w:rPr/>
      </w:pPr>
      <w:r>
        <w:rPr>
          <w:rStyle w:val="normal-h1"/>
          <w:rtl w:val="true"/>
        </w:rPr>
        <w:t>"</w:t>
      </w:r>
      <w:r>
        <w:rPr>
          <w:rStyle w:val="normal-h1"/>
          <w:b/>
          <w:b/>
          <w:bCs/>
          <w:rtl w:val="true"/>
        </w:rPr>
        <w:t>דע שגודל העונש וחומרת הכאבתו או קטנותו והקלות לשאת אותו הם בהתחשב בארבעה דברים</w:t>
      </w:r>
      <w:r>
        <w:rPr>
          <w:rStyle w:val="normal-h1"/>
          <w:b/>
          <w:bCs/>
          <w:rtl w:val="true"/>
        </w:rPr>
        <w:t xml:space="preserve">. </w:t>
      </w:r>
      <w:r>
        <w:rPr>
          <w:rStyle w:val="normal-h1"/>
          <w:b/>
          <w:b/>
          <w:bCs/>
          <w:rtl w:val="true"/>
        </w:rPr>
        <w:t>הראשון חומרת הפשע</w:t>
      </w:r>
      <w:r>
        <w:rPr>
          <w:rStyle w:val="normal-h1"/>
          <w:b/>
          <w:bCs/>
          <w:rtl w:val="true"/>
        </w:rPr>
        <w:t xml:space="preserve">. </w:t>
      </w:r>
      <w:r>
        <w:rPr>
          <w:rStyle w:val="normal-h1"/>
          <w:b/>
          <w:b/>
          <w:bCs/>
          <w:rtl w:val="true"/>
        </w:rPr>
        <w:t>כי המעשים שנוצר מהם קלקול גדול עונשם חמור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והמעשים שנוצר מהם קלקול פעוט ומועט עונשם קל</w:t>
      </w:r>
      <w:r>
        <w:rPr>
          <w:rStyle w:val="normal-h1"/>
          <w:b/>
          <w:bCs/>
          <w:rtl w:val="true"/>
        </w:rPr>
        <w:t xml:space="preserve">. </w:t>
      </w:r>
      <w:r>
        <w:rPr>
          <w:rStyle w:val="normal-h1"/>
          <w:b/>
          <w:b/>
          <w:bCs/>
          <w:rtl w:val="true"/>
        </w:rPr>
        <w:t>השני תדירות האירוע</w:t>
      </w:r>
      <w:r>
        <w:rPr>
          <w:rStyle w:val="normal-h1"/>
          <w:b/>
          <w:bCs/>
          <w:rtl w:val="true"/>
        </w:rPr>
        <w:t xml:space="preserve">. </w:t>
      </w:r>
      <w:r>
        <w:rPr>
          <w:rStyle w:val="normal-h1"/>
          <w:b/>
          <w:b/>
          <w:bCs/>
          <w:rtl w:val="true"/>
        </w:rPr>
        <w:t>כי יש למנוע בעונש חמור דבר הקורה לעתים תדירות יותר</w:t>
      </w:r>
      <w:r>
        <w:rPr>
          <w:rStyle w:val="normal-h1"/>
          <w:b/>
          <w:bCs/>
          <w:rtl w:val="true"/>
        </w:rPr>
        <w:t xml:space="preserve">. </w:t>
      </w:r>
      <w:r>
        <w:rPr>
          <w:rStyle w:val="normal-h1"/>
          <w:b/>
          <w:b/>
          <w:bCs/>
          <w:rtl w:val="true"/>
        </w:rPr>
        <w:t>ואילו עונש קל יספיק כדי למנוע דבר הקורה לעתים רחוקות מכיוון שהוא קורה לעתים רחוקות</w:t>
      </w:r>
      <w:r>
        <w:rPr>
          <w:rStyle w:val="normal-h1"/>
          <w:b/>
          <w:bCs/>
          <w:rtl w:val="true"/>
        </w:rPr>
        <w:t xml:space="preserve">. </w:t>
      </w:r>
      <w:r>
        <w:rPr>
          <w:rStyle w:val="normal-h1"/>
          <w:b/>
          <w:b/>
          <w:bCs/>
          <w:rtl w:val="true"/>
        </w:rPr>
        <w:t>השלישי הוא חומרת ההתפת</w:t>
      </w:r>
      <w:r>
        <w:rPr>
          <w:rStyle w:val="normal-h1"/>
          <w:rtl w:val="true"/>
        </w:rPr>
        <w:t xml:space="preserve"> </w:t>
      </w:r>
      <w:r>
        <w:rPr>
          <w:rStyle w:val="normal-h1"/>
          <w:b/>
          <w:b/>
          <w:bCs/>
          <w:rtl w:val="true"/>
        </w:rPr>
        <w:t>ות לדבר</w:t>
      </w:r>
      <w:r>
        <w:rPr>
          <w:rStyle w:val="normal-h1"/>
          <w:b/>
          <w:bCs/>
          <w:rtl w:val="true"/>
        </w:rPr>
        <w:t xml:space="preserve">. </w:t>
      </w:r>
      <w:r>
        <w:rPr>
          <w:rStyle w:val="normal-h1"/>
          <w:b/>
          <w:b/>
          <w:bCs/>
          <w:rtl w:val="true"/>
        </w:rPr>
        <w:t xml:space="preserve">כי מדבר שהאדם מתפתה לעשותו </w:t>
      </w:r>
      <w:r>
        <w:rPr>
          <w:rStyle w:val="normal-h1"/>
          <w:b/>
          <w:bCs/>
          <w:rtl w:val="true"/>
        </w:rPr>
        <w:t xml:space="preserve">- </w:t>
      </w:r>
      <w:r>
        <w:rPr>
          <w:rStyle w:val="normal-h1"/>
          <w:b/>
          <w:b/>
          <w:bCs/>
          <w:rtl w:val="true"/>
        </w:rPr>
        <w:t>או מפני שהתאווה מגרה אותו מאוד לעשותו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או מפני שהוא רגיל מאוד לעשותו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 xml:space="preserve">או מפני שקשה מאוד לא לעשותו </w:t>
      </w:r>
      <w:r>
        <w:rPr>
          <w:rStyle w:val="normal-h1"/>
          <w:b/>
          <w:bCs/>
          <w:rtl w:val="true"/>
        </w:rPr>
        <w:t xml:space="preserve">- </w:t>
      </w:r>
      <w:r>
        <w:rPr>
          <w:rStyle w:val="normal-h1"/>
          <w:b/>
          <w:b/>
          <w:bCs/>
          <w:rtl w:val="true"/>
        </w:rPr>
        <w:t>הוא לא יימנע אלא אם כן צפוי לו דבר חמור</w:t>
      </w:r>
      <w:r>
        <w:rPr>
          <w:rStyle w:val="normal-h1"/>
          <w:b/>
          <w:bCs/>
          <w:rtl w:val="true"/>
        </w:rPr>
        <w:t xml:space="preserve">. </w:t>
      </w:r>
      <w:r>
        <w:rPr>
          <w:rStyle w:val="normal-h1"/>
          <w:b/>
          <w:b/>
          <w:bCs/>
          <w:rtl w:val="true"/>
        </w:rPr>
        <w:t>הרביעי הוא הקלות לבצע את המעשה הזה בהיחבא ובסתר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באופן שאחרים לא ירגישו בו</w:t>
      </w:r>
      <w:r>
        <w:rPr>
          <w:rStyle w:val="normal-h1"/>
          <w:b/>
          <w:bCs/>
          <w:rtl w:val="true"/>
        </w:rPr>
        <w:t xml:space="preserve">. </w:t>
      </w:r>
      <w:r>
        <w:rPr>
          <w:rStyle w:val="normal-h1"/>
          <w:b/>
          <w:b/>
          <w:bCs/>
          <w:rtl w:val="true"/>
        </w:rPr>
        <w:t>להרתיע מזה ניתן רק בעונש כבד וחמור</w:t>
      </w:r>
      <w:r>
        <w:rPr>
          <w:rStyle w:val="normal-h1"/>
          <w:b/>
          <w:bCs/>
          <w:rtl w:val="true"/>
        </w:rPr>
        <w:t>".</w:t>
      </w:r>
      <w:r>
        <w:rPr>
          <w:rStyle w:val="normal-h1"/>
          <w:rtl w:val="true"/>
        </w:rPr>
        <w:t xml:space="preserve"> </w:t>
      </w:r>
    </w:p>
    <w:p>
      <w:pPr>
        <w:pStyle w:val="Normal"/>
        <w:spacing w:lineRule="auto" w:line="360"/>
        <w:ind w:start="1106" w:end="1080"/>
        <w:jc w:val="both"/>
        <w:rPr/>
      </w:pPr>
      <w:r>
        <w:rPr>
          <w:rStyle w:val="normal-h1"/>
          <w:rtl w:val="true"/>
        </w:rPr>
        <w:t>(</w:t>
      </w:r>
      <w:r>
        <w:rPr>
          <w:rStyle w:val="normal-h1"/>
          <w:rtl w:val="true"/>
        </w:rPr>
        <w:t>מורה</w:t>
      </w:r>
      <w:r>
        <w:rPr>
          <w:rStyle w:val="normal-h1"/>
          <w:rtl w:val="true"/>
        </w:rPr>
        <w:t>-</w:t>
      </w:r>
      <w:r>
        <w:rPr>
          <w:rStyle w:val="normal-h1"/>
          <w:rtl w:val="true"/>
        </w:rPr>
        <w:t>נבוכים לרמב</w:t>
      </w:r>
      <w:r>
        <w:rPr>
          <w:rStyle w:val="normal-h1"/>
          <w:rtl w:val="true"/>
        </w:rPr>
        <w:t>"</w:t>
      </w:r>
      <w:r>
        <w:rPr>
          <w:rStyle w:val="normal-h1"/>
          <w:rtl w:val="true"/>
        </w:rPr>
        <w:t>ם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המהדורה המקוונת של ההוצאה לאור אוניברסיטת תל</w:t>
      </w:r>
      <w:r>
        <w:rPr>
          <w:rStyle w:val="normal-h1"/>
          <w:rtl w:val="true"/>
        </w:rPr>
        <w:t>-</w:t>
      </w:r>
      <w:r>
        <w:rPr>
          <w:rStyle w:val="normal-h1"/>
          <w:rtl w:val="true"/>
        </w:rPr>
        <w:t>אביב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בתרגומו של מיכאל שוורץ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ושם בפרק מ</w:t>
      </w:r>
      <w:r>
        <w:rPr>
          <w:rStyle w:val="normal-h1"/>
          <w:rtl w:val="true"/>
        </w:rPr>
        <w:t>"</w:t>
      </w:r>
      <w:r>
        <w:rPr>
          <w:rStyle w:val="normal-h1"/>
          <w:rtl w:val="true"/>
        </w:rPr>
        <w:t>א לחלק השלישי</w:t>
      </w:r>
      <w:r>
        <w:rPr>
          <w:rStyle w:val="normal-h1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מהכלל אל הפרט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19</w:t>
      </w:r>
      <w:r>
        <w:rPr>
          <w:rtl w:val="true"/>
        </w:rPr>
        <w:t>.</w:t>
        <w:tab/>
      </w:r>
      <w:r>
        <w:rPr>
          <w:rtl w:val="true"/>
        </w:rPr>
        <w:t>הנאשם שבפנינו</w:t>
      </w:r>
      <w:r>
        <w:rPr>
          <w:rtl w:val="true"/>
        </w:rPr>
        <w:t xml:space="preserve">, </w:t>
      </w:r>
      <w:r>
        <w:rPr>
          <w:rtl w:val="true"/>
        </w:rPr>
        <w:t>עבר עבירות חמורות בנשק</w:t>
      </w:r>
      <w:r>
        <w:rPr>
          <w:rtl w:val="true"/>
        </w:rPr>
        <w:t xml:space="preserve">, </w:t>
      </w:r>
      <w:r>
        <w:rPr>
          <w:rtl w:val="true"/>
        </w:rPr>
        <w:t>אשר למרבה הצער הפכו באזורנו שלנו</w:t>
      </w:r>
      <w:r>
        <w:rPr>
          <w:rtl w:val="true"/>
        </w:rPr>
        <w:t xml:space="preserve">, </w:t>
      </w:r>
      <w:r>
        <w:rPr>
          <w:rtl w:val="true"/>
        </w:rPr>
        <w:t>ואולי גם בכלל ברחבי המדינה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b/>
          <w:b/>
          <w:bCs/>
          <w:rtl w:val="true"/>
        </w:rPr>
        <w:t>מכת מדינה</w:t>
      </w:r>
      <w:r>
        <w:rPr>
          <w:rtl w:val="true"/>
        </w:rPr>
        <w:t xml:space="preserve">" </w:t>
      </w:r>
      <w:r>
        <w:rPr>
          <w:rtl w:val="true"/>
        </w:rPr>
        <w:t>של 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לו זו אף זאת</w:t>
      </w:r>
      <w:r>
        <w:rPr>
          <w:rtl w:val="true"/>
        </w:rPr>
        <w:t xml:space="preserve">, </w:t>
      </w:r>
      <w:r>
        <w:rPr>
          <w:rtl w:val="true"/>
        </w:rPr>
        <w:t>לבד מהעבירה שיש בה פוטנציאל לפגיעה והיא עבירה  של החזקה ונשיאת כלי נשק</w:t>
      </w:r>
      <w:r>
        <w:rPr>
          <w:rtl w:val="true"/>
        </w:rPr>
        <w:t xml:space="preserve">, </w:t>
      </w:r>
      <w:r>
        <w:rPr>
          <w:rtl w:val="true"/>
        </w:rPr>
        <w:t>הרי שבענייננו הפוטנציאל של השימוש בכלי הנשק</w:t>
      </w:r>
      <w:r>
        <w:rPr>
          <w:rtl w:val="true"/>
        </w:rPr>
        <w:t xml:space="preserve">, </w:t>
      </w:r>
      <w:r>
        <w:rPr>
          <w:rtl w:val="true"/>
        </w:rPr>
        <w:t>יצא מהכוח אל הפועל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 השתמש בכלי הנשק ואף זרק אותו לעבר קבוצת אנשים</w:t>
      </w:r>
      <w:r>
        <w:rPr>
          <w:rtl w:val="true"/>
        </w:rPr>
        <w:t xml:space="preserve">, </w:t>
      </w:r>
      <w:r>
        <w:rPr>
          <w:rtl w:val="true"/>
        </w:rPr>
        <w:t>זאת במטרה לגרום להם לחבלה חמורה</w:t>
      </w:r>
      <w:r>
        <w:rPr>
          <w:rtl w:val="true"/>
        </w:rPr>
        <w:t xml:space="preserve">. </w:t>
      </w:r>
      <w:r>
        <w:rPr>
          <w:rtl w:val="true"/>
        </w:rPr>
        <w:t>זו הייתה לשונו של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וזה גם נוסח העבירה בה הורשע הנאשם </w:t>
      </w:r>
      <w:r>
        <w:rPr>
          <w:rtl w:val="true"/>
        </w:rPr>
        <w:t>(</w:t>
      </w:r>
      <w:r>
        <w:rPr>
          <w:rtl w:val="true"/>
        </w:rPr>
        <w:t xml:space="preserve">עבירה 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23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4" w:start="720" w:end="0"/>
        <w:jc w:val="both"/>
        <w:rPr/>
      </w:pPr>
      <w:r>
        <w:rPr>
          <w:b/>
          <w:bCs/>
        </w:rPr>
        <w:t>20</w:t>
      </w:r>
      <w:r>
        <w:rPr>
          <w:rtl w:val="true"/>
        </w:rPr>
        <w:t>.</w:t>
        <w:tab/>
      </w:r>
      <w:r>
        <w:rPr>
          <w:rtl w:val="true"/>
        </w:rPr>
        <w:t>דומה אפוא</w:t>
      </w:r>
      <w:r>
        <w:rPr>
          <w:rtl w:val="true"/>
        </w:rPr>
        <w:t xml:space="preserve">, </w:t>
      </w:r>
      <w:r>
        <w:rPr>
          <w:rtl w:val="true"/>
        </w:rPr>
        <w:t>כי בענייננו</w:t>
      </w:r>
      <w:r>
        <w:rPr>
          <w:rtl w:val="true"/>
        </w:rPr>
        <w:t xml:space="preserve">, </w:t>
      </w:r>
      <w:r>
        <w:rPr>
          <w:rtl w:val="true"/>
        </w:rPr>
        <w:t>קיימים שני השיקולים הראשונים אותם מנה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94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האחד </w:t>
      </w:r>
      <w:r>
        <w:rPr>
          <w:rtl w:val="true"/>
        </w:rPr>
        <w:t>- "</w:t>
      </w:r>
      <w:r>
        <w:rPr>
          <w:b/>
          <w:b/>
          <w:bCs/>
          <w:rtl w:val="true"/>
        </w:rPr>
        <w:t>חומרת הפשע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מעשים שנוצר מהם קלקול גדול </w:t>
      </w:r>
      <w:r>
        <w:rPr>
          <w:b/>
          <w:bCs/>
          <w:rtl w:val="true"/>
        </w:rPr>
        <w:t>...</w:t>
      </w:r>
      <w:r>
        <w:rPr>
          <w:rtl w:val="true"/>
        </w:rPr>
        <w:t xml:space="preserve">" </w:t>
      </w:r>
      <w:r>
        <w:rPr>
          <w:rtl w:val="true"/>
        </w:rPr>
        <w:t xml:space="preserve">ואין צורך לפרט איזה </w:t>
      </w:r>
      <w:r>
        <w:rPr>
          <w:rtl w:val="true"/>
        </w:rPr>
        <w:t>"</w:t>
      </w:r>
      <w:r>
        <w:rPr>
          <w:b/>
          <w:b/>
          <w:bCs/>
          <w:rtl w:val="true"/>
        </w:rPr>
        <w:t>קלקול</w:t>
      </w:r>
      <w:r>
        <w:rPr>
          <w:rtl w:val="true"/>
        </w:rPr>
        <w:t xml:space="preserve">" </w:t>
      </w:r>
      <w:r>
        <w:rPr>
          <w:rtl w:val="true"/>
        </w:rPr>
        <w:t>גדול יכול היה להיווצר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694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והשני </w:t>
      </w:r>
      <w:r>
        <w:rPr>
          <w:rtl w:val="true"/>
        </w:rPr>
        <w:t xml:space="preserve">- </w:t>
      </w:r>
      <w:r>
        <w:rPr>
          <w:rtl w:val="true"/>
        </w:rPr>
        <w:t>תדירות האירוע</w:t>
      </w:r>
      <w:r>
        <w:rPr>
          <w:rtl w:val="true"/>
        </w:rPr>
        <w:t>, "</w:t>
      </w:r>
      <w:r>
        <w:rPr>
          <w:b/>
          <w:b/>
          <w:bCs/>
          <w:rtl w:val="true"/>
        </w:rPr>
        <w:t xml:space="preserve">כי יש למנוע בעונש חמור דבר הקורה לעיתים תדירות יותר </w:t>
      </w:r>
      <w:r>
        <w:rPr>
          <w:b/>
          <w:bCs/>
          <w:rtl w:val="true"/>
        </w:rPr>
        <w:t>...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694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 וכפי שכבר כתבתי לעיל</w:t>
      </w:r>
      <w:r>
        <w:rPr>
          <w:rtl w:val="true"/>
        </w:rPr>
        <w:t xml:space="preserve">, </w:t>
      </w:r>
      <w:r>
        <w:rPr>
          <w:rtl w:val="true"/>
        </w:rPr>
        <w:t>אכן מדובר בעבירות אשר למרבה הצער</w:t>
      </w:r>
      <w:r>
        <w:rPr>
          <w:rtl w:val="true"/>
        </w:rPr>
        <w:t xml:space="preserve">, </w:t>
      </w:r>
      <w:r>
        <w:rPr>
          <w:rtl w:val="true"/>
        </w:rPr>
        <w:t>הפכו להיות נפוצות ונפיצות</w:t>
      </w:r>
      <w:r>
        <w:rPr>
          <w:rtl w:val="true"/>
        </w:rPr>
        <w:t>!</w:t>
      </w:r>
    </w:p>
    <w:p>
      <w:pPr>
        <w:pStyle w:val="Normal"/>
        <w:spacing w:lineRule="auto" w:line="360"/>
        <w:ind w:hanging="694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עוד אציין</w:t>
      </w:r>
      <w:r>
        <w:rPr>
          <w:rtl w:val="true"/>
        </w:rPr>
        <w:t xml:space="preserve">, </w:t>
      </w:r>
      <w:r>
        <w:rPr>
          <w:rtl w:val="true"/>
        </w:rPr>
        <w:t>כי הנאשם הוסיף חטא על פשע</w:t>
      </w:r>
      <w:r>
        <w:rPr>
          <w:rtl w:val="true"/>
        </w:rPr>
        <w:t xml:space="preserve">, </w:t>
      </w:r>
      <w:r>
        <w:rPr>
          <w:rtl w:val="true"/>
        </w:rPr>
        <w:t>עת נמלט הוא מהשוטרים שבאו לעוצרו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4" w:start="720" w:end="0"/>
        <w:jc w:val="both"/>
        <w:rPr/>
      </w:pPr>
      <w:r>
        <w:rPr>
          <w:b/>
          <w:bCs/>
        </w:rPr>
        <w:t>22</w:t>
      </w:r>
      <w:r>
        <w:rPr>
          <w:b/>
          <w:bCs/>
          <w:rtl w:val="true"/>
        </w:rPr>
        <w:t>.</w:t>
        <w:tab/>
      </w:r>
      <w:r>
        <w:rPr>
          <w:rtl w:val="true"/>
        </w:rPr>
        <w:t>הנאשם אמנם הודה</w:t>
      </w:r>
      <w:r>
        <w:rPr>
          <w:rtl w:val="true"/>
        </w:rPr>
        <w:t xml:space="preserve">, </w:t>
      </w:r>
      <w:r>
        <w:rPr>
          <w:rtl w:val="true"/>
        </w:rPr>
        <w:t>סופו של יום</w:t>
      </w:r>
      <w:r>
        <w:rPr>
          <w:rtl w:val="true"/>
        </w:rPr>
        <w:t xml:space="preserve">, </w:t>
      </w:r>
      <w:r>
        <w:rPr>
          <w:rtl w:val="true"/>
        </w:rPr>
        <w:t>בעבירות אשר יוחסו לו בכתב האישום המתוקן ואולם</w:t>
      </w:r>
      <w:r>
        <w:rPr>
          <w:rtl w:val="true"/>
        </w:rPr>
        <w:t xml:space="preserve">, </w:t>
      </w:r>
      <w:r>
        <w:rPr>
          <w:rtl w:val="true"/>
        </w:rPr>
        <w:t>הודאתו לא באה מיד</w:t>
      </w:r>
      <w:r>
        <w:rPr>
          <w:rtl w:val="true"/>
        </w:rPr>
        <w:t xml:space="preserve">, </w:t>
      </w:r>
      <w:r>
        <w:rPr>
          <w:rtl w:val="true"/>
        </w:rPr>
        <w:t>לא בחקירתו במשטרה ואף לא בבית המשפט וזו באה לעולם רק בעיצומה של ישיבת ההוכחות השנייה בתיק</w:t>
      </w:r>
      <w:r>
        <w:rPr>
          <w:rtl w:val="true"/>
        </w:rPr>
        <w:t xml:space="preserve">, </w:t>
      </w:r>
      <w:r>
        <w:rPr>
          <w:rtl w:val="true"/>
        </w:rPr>
        <w:t>ומשנוכח הנאשם לדעת</w:t>
      </w:r>
      <w:r>
        <w:rPr>
          <w:rtl w:val="true"/>
        </w:rPr>
        <w:t xml:space="preserve">, </w:t>
      </w:r>
      <w:r>
        <w:rPr>
          <w:rtl w:val="true"/>
        </w:rPr>
        <w:t>כי אכן כלתה אליו הרעה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694" w:start="720" w:end="0"/>
        <w:jc w:val="both"/>
        <w:rPr>
          <w:rFonts w:cs="Times New Roman"/>
          <w:lang w:eastAsia="he-IL"/>
        </w:rPr>
      </w:pPr>
      <w:r>
        <w:rPr>
          <w:b/>
          <w:bCs/>
        </w:rPr>
        <w:t>23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לצד הקולא</w:t>
      </w:r>
      <w:r>
        <w:rPr>
          <w:rtl w:val="true"/>
        </w:rPr>
        <w:t xml:space="preserve">, </w:t>
      </w:r>
      <w:r>
        <w:rPr>
          <w:rtl w:val="true"/>
        </w:rPr>
        <w:t>עומדות לזכותו של הנאשם העובדות</w:t>
      </w:r>
      <w:r>
        <w:rPr>
          <w:rtl w:val="true"/>
        </w:rPr>
        <w:t xml:space="preserve">, </w:t>
      </w:r>
      <w:r>
        <w:rPr>
          <w:rtl w:val="true"/>
        </w:rPr>
        <w:t xml:space="preserve">כי סופו של יום </w:t>
      </w:r>
      <w:r>
        <w:rPr>
          <w:rtl w:val="true"/>
        </w:rPr>
        <w:t>(</w:t>
      </w:r>
      <w:r>
        <w:rPr>
          <w:rtl w:val="true"/>
        </w:rPr>
        <w:t>גם אם באיחור</w:t>
      </w:r>
      <w:r>
        <w:rPr>
          <w:rtl w:val="true"/>
        </w:rPr>
        <w:t xml:space="preserve">) </w:t>
      </w:r>
      <w:r>
        <w:rPr>
          <w:rtl w:val="true"/>
        </w:rPr>
        <w:t>הודה והתחרט על מעשיו</w:t>
      </w:r>
      <w:r>
        <w:rPr>
          <w:rtl w:val="true"/>
        </w:rPr>
        <w:t xml:space="preserve">, </w:t>
      </w:r>
      <w:r>
        <w:rPr>
          <w:rtl w:val="true"/>
        </w:rPr>
        <w:t>כי נעדר הוא עבר פלילי וכי המדובר בבחור צעיר</w:t>
      </w:r>
      <w:r>
        <w:rPr>
          <w:rtl w:val="true"/>
        </w:rPr>
        <w:t xml:space="preserve">, </w:t>
      </w:r>
      <w:r>
        <w:rPr>
          <w:rtl w:val="true"/>
        </w:rPr>
        <w:t>בראשית דרכו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24</w:t>
      </w:r>
      <w:r>
        <w:rPr>
          <w:rtl w:val="true"/>
        </w:rPr>
        <w:t>.</w:t>
        <w:tab/>
      </w:r>
      <w:r>
        <w:rPr>
          <w:rtl w:val="true"/>
        </w:rPr>
        <w:t>עוד עומדת לזכותו של הנאשם העובדה</w:t>
      </w:r>
      <w:r>
        <w:rPr>
          <w:rtl w:val="true"/>
        </w:rPr>
        <w:t xml:space="preserve">, </w:t>
      </w:r>
      <w:r>
        <w:rPr>
          <w:rtl w:val="true"/>
        </w:rPr>
        <w:t>כי סופו של יום</w:t>
      </w:r>
      <w:r>
        <w:rPr>
          <w:rtl w:val="true"/>
        </w:rPr>
        <w:t xml:space="preserve">, </w:t>
      </w:r>
      <w:r>
        <w:rPr>
          <w:rtl w:val="true"/>
        </w:rPr>
        <w:t>איש לא נפגע</w:t>
      </w:r>
      <w:r>
        <w:rPr>
          <w:rtl w:val="true"/>
        </w:rPr>
        <w:t xml:space="preserve">, </w:t>
      </w:r>
      <w:r>
        <w:rPr>
          <w:rtl w:val="true"/>
        </w:rPr>
        <w:t>וכי אכן מדובר ברימון הלם</w:t>
      </w:r>
      <w:r>
        <w:rPr>
          <w:rtl w:val="true"/>
        </w:rPr>
        <w:t xml:space="preserve">, </w:t>
      </w:r>
      <w:r>
        <w:rPr>
          <w:rtl w:val="true"/>
        </w:rPr>
        <w:t>שפגיעתו מועטה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566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694" w:start="720" w:end="0"/>
        <w:jc w:val="both"/>
        <w:rPr/>
      </w:pPr>
      <w:r>
        <w:rPr>
          <w:b/>
          <w:bCs/>
        </w:rPr>
        <w:t>25</w:t>
      </w:r>
      <w:r>
        <w:rPr>
          <w:rtl w:val="true"/>
        </w:rPr>
        <w:t>.</w:t>
        <w:tab/>
        <w:tab/>
      </w:r>
      <w:r>
        <w:rPr>
          <w:rtl w:val="true"/>
        </w:rPr>
        <w:t>במיוחד עומדת לזכותו של הנאשם המלצת שרות המבחן</w:t>
      </w:r>
      <w:r>
        <w:rPr>
          <w:rtl w:val="true"/>
        </w:rPr>
        <w:t xml:space="preserve">, </w:t>
      </w:r>
      <w:r>
        <w:rPr>
          <w:rtl w:val="true"/>
        </w:rPr>
        <w:t>אשר שמה לנגד עיניה</w:t>
      </w:r>
      <w:r>
        <w:rPr>
          <w:rtl w:val="true"/>
        </w:rPr>
        <w:t xml:space="preserve">, </w:t>
      </w:r>
      <w:r>
        <w:rPr>
          <w:rtl w:val="true"/>
        </w:rPr>
        <w:t>כשיקול מכריע את שיקומו של הנאשם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694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694" w:start="720" w:end="0"/>
        <w:jc w:val="both"/>
        <w:rPr/>
      </w:pPr>
      <w:r>
        <w:rPr>
          <w:b/>
          <w:bCs/>
        </w:rPr>
        <w:t>26</w:t>
      </w:r>
      <w:r>
        <w:rPr>
          <w:b/>
          <w:bCs/>
          <w:rtl w:val="true"/>
        </w:rPr>
        <w:t>.</w:t>
        <w:tab/>
      </w:r>
      <w:r>
        <w:rPr>
          <w:rtl w:val="true"/>
        </w:rPr>
        <w:tab/>
      </w:r>
      <w:r>
        <w:rPr>
          <w:rtl w:val="true"/>
        </w:rPr>
        <w:t>אומר כבר עתה</w:t>
      </w:r>
      <w:r>
        <w:rPr>
          <w:rtl w:val="true"/>
        </w:rPr>
        <w:t xml:space="preserve">, </w:t>
      </w:r>
      <w:r>
        <w:rPr>
          <w:rtl w:val="true"/>
        </w:rPr>
        <w:t>כי בכוונתי לסטות מהמלצה זו של שרות 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בכל הכבוד הראוי</w:t>
      </w:r>
      <w:r>
        <w:rPr>
          <w:rtl w:val="true"/>
        </w:rPr>
        <w:t xml:space="preserve">, </w:t>
      </w:r>
      <w:r>
        <w:rPr>
          <w:rtl w:val="true"/>
        </w:rPr>
        <w:t>שקל רק את האינטרס השיקומי והתעלם משיקולי הענישה האחרים</w:t>
      </w:r>
      <w:r>
        <w:rPr>
          <w:rtl w:val="true"/>
        </w:rPr>
        <w:t xml:space="preserve">, </w:t>
      </w:r>
      <w:r>
        <w:rPr>
          <w:rtl w:val="true"/>
        </w:rPr>
        <w:t>כמו הגמול</w:t>
      </w:r>
      <w:r>
        <w:rPr>
          <w:rtl w:val="true"/>
        </w:rPr>
        <w:t xml:space="preserve">, </w:t>
      </w:r>
      <w:r>
        <w:rPr>
          <w:rtl w:val="true"/>
        </w:rPr>
        <w:t>ההרתעה וכדו</w:t>
      </w:r>
      <w:r>
        <w:rPr>
          <w:rtl w:val="true"/>
        </w:rPr>
        <w:t xml:space="preserve">'. 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694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ראה בהשאלה דברים שנאמרו בעניין זה ב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5753/04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רייכמן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7.2.05</w:t>
      </w:r>
      <w:r>
        <w:rPr>
          <w:rtl w:val="true"/>
        </w:rPr>
        <w:t xml:space="preserve">), </w:t>
      </w:r>
      <w:r>
        <w:rPr>
          <w:rtl w:val="true"/>
        </w:rPr>
        <w:t>שם קובע בית המשפט כך</w:t>
      </w:r>
      <w:r>
        <w:rPr>
          <w:rtl w:val="true"/>
        </w:rPr>
        <w:t>;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06" w:end="900"/>
        <w:jc w:val="both"/>
        <w:rPr/>
      </w:pPr>
      <w:r>
        <w:rPr>
          <w:rStyle w:val="normal-h1"/>
          <w:b/>
          <w:bCs/>
          <w:rtl w:val="true"/>
        </w:rPr>
        <w:t>"</w:t>
      </w:r>
      <w:r>
        <w:rPr>
          <w:rStyle w:val="normal-h1"/>
          <w:b/>
          <w:b/>
          <w:bCs/>
          <w:rtl w:val="true"/>
        </w:rPr>
        <w:t>ראשית לכל נזכור את יסוד הגמול שבענישה</w:t>
      </w:r>
      <w:r>
        <w:rPr>
          <w:rStyle w:val="normal-h1"/>
          <w:b/>
          <w:bCs/>
          <w:rtl w:val="true"/>
        </w:rPr>
        <w:t xml:space="preserve">. </w:t>
      </w:r>
      <w:r>
        <w:rPr>
          <w:rStyle w:val="normal-h1"/>
          <w:b/>
          <w:b/>
          <w:bCs/>
          <w:rtl w:val="true"/>
        </w:rPr>
        <w:t>אדם העושה מעשה רע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מעשה הפורע סידרי חברה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חייב לדעת כי החברה תשיב לו כגמולו</w:t>
      </w:r>
      <w:r>
        <w:rPr>
          <w:rStyle w:val="normal-h1"/>
          <w:b/>
          <w:bCs/>
          <w:rtl w:val="true"/>
        </w:rPr>
        <w:t xml:space="preserve">. </w:t>
      </w:r>
      <w:r>
        <w:rPr>
          <w:rStyle w:val="normal-h1"/>
          <w:b/>
          <w:b/>
          <w:bCs/>
          <w:rtl w:val="true"/>
        </w:rPr>
        <w:t>מעשה רע ייגמל בעונש קשה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מעשה רע מאד ייגמל בעונש קשה מאד</w:t>
      </w:r>
      <w:r>
        <w:rPr>
          <w:rStyle w:val="normal-h1"/>
          <w:b/>
          <w:bCs/>
          <w:rtl w:val="true"/>
        </w:rPr>
        <w:t xml:space="preserve">. </w:t>
      </w:r>
      <w:r>
        <w:rPr>
          <w:rStyle w:val="normal-h1"/>
          <w:b/>
          <w:b/>
          <w:bCs/>
          <w:rtl w:val="true"/>
        </w:rPr>
        <w:t>כך הוא אף באשר להרתעה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הרתעת היחיד והרתעת הרבים</w:t>
      </w:r>
      <w:r>
        <w:rPr>
          <w:rStyle w:val="normal-h1"/>
          <w:b/>
          <w:bCs/>
          <w:rtl w:val="true"/>
        </w:rPr>
        <w:t xml:space="preserve">. </w:t>
      </w:r>
      <w:r>
        <w:rPr>
          <w:rStyle w:val="normal-h1"/>
          <w:b/>
          <w:b/>
          <w:bCs/>
          <w:rtl w:val="true"/>
        </w:rPr>
        <w:t>יד קלה על סכין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אצבע קלה על הדק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כף יד קלה על רימון יד</w:t>
      </w:r>
      <w:r>
        <w:rPr>
          <w:rStyle w:val="normal-h1"/>
          <w:b/>
          <w:bCs/>
          <w:rtl w:val="true"/>
        </w:rPr>
        <w:t xml:space="preserve">, </w:t>
      </w:r>
      <w:r>
        <w:rPr>
          <w:rStyle w:val="normal-h1"/>
          <w:b/>
          <w:b/>
          <w:bCs/>
          <w:rtl w:val="true"/>
        </w:rPr>
        <w:t>כל אלה ייענשו בחומרה להרתעת היחיד והרבים</w:t>
      </w:r>
      <w:r>
        <w:rPr>
          <w:rStyle w:val="normal-h1"/>
          <w:b/>
          <w:bCs/>
          <w:rtl w:val="true"/>
        </w:rPr>
        <w:t>".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694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ער אני לכך</w:t>
      </w:r>
      <w:r>
        <w:rPr>
          <w:rtl w:val="true"/>
        </w:rPr>
        <w:t xml:space="preserve">, </w:t>
      </w:r>
      <w:r>
        <w:rPr>
          <w:rtl w:val="true"/>
        </w:rPr>
        <w:t>כי הדוגמאות שם עסקו ברימון יד</w:t>
      </w:r>
      <w:r>
        <w:rPr>
          <w:rtl w:val="true"/>
        </w:rPr>
        <w:t xml:space="preserve">, </w:t>
      </w:r>
      <w:r>
        <w:rPr>
          <w:rtl w:val="true"/>
        </w:rPr>
        <w:t>וכאן עניין לנו ברימון הלם וכל שמבקש אני ללמוד מפסק הדין הנ</w:t>
      </w:r>
      <w:r>
        <w:rPr>
          <w:rtl w:val="true"/>
        </w:rPr>
        <w:t>"</w:t>
      </w:r>
      <w:r>
        <w:rPr>
          <w:rtl w:val="true"/>
        </w:rPr>
        <w:t>ל הוא את שיקול ההרתעה</w:t>
      </w:r>
      <w:r>
        <w:rPr>
          <w:rtl w:val="true"/>
        </w:rPr>
        <w:t xml:space="preserve">, </w:t>
      </w:r>
      <w:r>
        <w:rPr>
          <w:rtl w:val="true"/>
        </w:rPr>
        <w:t>כשיקול דומיננטי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27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לעניין המלצת שרות המבחן והיותה של זו כמשמעה</w:t>
      </w:r>
      <w:r>
        <w:rPr>
          <w:rtl w:val="true"/>
        </w:rPr>
        <w:t xml:space="preserve">, </w:t>
      </w:r>
      <w:r>
        <w:rPr>
          <w:rtl w:val="true"/>
        </w:rPr>
        <w:t>המלצה בלבד</w:t>
      </w:r>
      <w:r>
        <w:rPr>
          <w:rtl w:val="true"/>
        </w:rPr>
        <w:t xml:space="preserve">, </w:t>
      </w:r>
      <w:r>
        <w:rPr>
          <w:rtl w:val="true"/>
        </w:rPr>
        <w:t xml:space="preserve">ראה </w:t>
      </w:r>
      <w:hyperlink r:id="rId2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843/07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אנם נ</w:t>
      </w:r>
      <w:r>
        <w:rPr>
          <w:b/>
          <w:bCs/>
          <w:rtl w:val="true"/>
        </w:rPr>
        <w:t xml:space="preserve">' 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>, (</w:t>
      </w:r>
      <w:r>
        <w:rPr>
          <w:rtl w:val="true"/>
        </w:rPr>
        <w:t xml:space="preserve">ניתן ביום </w:t>
      </w:r>
      <w:r>
        <w:rPr/>
        <w:t>25.2.07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106" w:end="900"/>
        <w:jc w:val="both"/>
        <w:rPr/>
      </w:pPr>
      <w:r>
        <w:rPr>
          <w:rtl w:val="true"/>
        </w:rPr>
        <w:tab/>
        <w:t>"</w:t>
      </w:r>
      <w:r>
        <w:rPr>
          <w:b/>
          <w:b/>
          <w:bCs/>
          <w:rtl w:val="true"/>
        </w:rPr>
        <w:t>כבר נקבע לא 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האמור בתסקיר שרות המבחן הינו בגדר המלצה 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 בית המשפט לאזן בין ההמלצה לבין שיקולים אחרים העומדים בבסיס מטרתה של הענישה בפלילים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עוד ראה </w:t>
      </w:r>
      <w:hyperlink r:id="rId2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9250/08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מרקו שרעי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19.11.08</w:t>
      </w:r>
      <w:r>
        <w:rPr>
          <w:rtl w:val="true"/>
        </w:rPr>
        <w:t>);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106" w:end="900"/>
        <w:jc w:val="both"/>
        <w:rPr/>
      </w:pPr>
      <w:r>
        <w:rPr>
          <w:rtl w:val="true"/>
        </w:rPr>
        <w:tab/>
        <w:t>"</w:t>
      </w:r>
      <w:r>
        <w:rPr>
          <w:b/>
          <w:b/>
          <w:bCs/>
          <w:rtl w:val="true"/>
        </w:rPr>
        <w:t>עלינו לזכור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תסקיר שירות המבחן הינו בגדר המלצה בלבד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ואילו תפקידו של השופט הוא האיזון בין המלצתו לבין שיקולים 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העומדים בבסיסו של רציונל הענישה הפלילית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ראו </w:t>
      </w:r>
      <w:hyperlink r:id="rId2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344/81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מדינת ישראל 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שחר סגל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ד לה</w:t>
        </w:r>
      </w:hyperlink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313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318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1981</w:t>
      </w:r>
      <w:r>
        <w:rPr>
          <w:b/>
          <w:bCs/>
          <w:rtl w:val="true"/>
        </w:rPr>
        <w:t>))"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הפסיקה הרלוונטית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גם התייחסות לפסיקה שהוצגה לעיוני</w:t>
      </w:r>
      <w:r>
        <w:rPr>
          <w:rtl w:val="true"/>
        </w:rPr>
        <w:t xml:space="preserve">. </w:t>
      </w:r>
      <w:r>
        <w:rPr>
          <w:rtl w:val="true"/>
        </w:rPr>
        <w:t>מטה אכן</w:t>
      </w:r>
      <w:r>
        <w:rPr>
          <w:rtl w:val="true"/>
        </w:rPr>
        <w:t xml:space="preserve">, </w:t>
      </w:r>
      <w:r>
        <w:rPr>
          <w:rtl w:val="true"/>
        </w:rPr>
        <w:t>חרף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את הכף להחמרה בעונש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בעניין 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7384/07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עופר ליזמי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קבע בית המשפט העליון</w:t>
      </w:r>
      <w:r>
        <w:rPr>
          <w:rtl w:val="true"/>
        </w:rPr>
        <w:t xml:space="preserve">, </w:t>
      </w:r>
      <w:r>
        <w:rPr>
          <w:rtl w:val="true"/>
        </w:rPr>
        <w:t xml:space="preserve">כי עונש של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</w:t>
      </w:r>
      <w:r>
        <w:rPr>
          <w:rtl w:val="true"/>
        </w:rPr>
        <w:t>(</w:t>
      </w:r>
      <w:r>
        <w:rPr>
          <w:rtl w:val="true"/>
        </w:rPr>
        <w:t>לצד הפעלת עונש מאסר מותנה קודם</w:t>
      </w:r>
      <w:r>
        <w:rPr>
          <w:rtl w:val="true"/>
        </w:rPr>
        <w:t xml:space="preserve">) </w:t>
      </w:r>
      <w:r>
        <w:rPr>
          <w:rtl w:val="true"/>
        </w:rPr>
        <w:t>על מי שהצמיד רימון הלם למכונית חונה</w:t>
      </w:r>
      <w:r>
        <w:rPr>
          <w:rtl w:val="true"/>
        </w:rPr>
        <w:t xml:space="preserve">, </w:t>
      </w:r>
      <w:r>
        <w:rPr>
          <w:rtl w:val="true"/>
        </w:rPr>
        <w:t>הינו עונש ראוי והולם</w:t>
      </w:r>
      <w:r>
        <w:rPr>
          <w:rtl w:val="true"/>
        </w:rPr>
        <w:t xml:space="preserve">, </w:t>
      </w:r>
      <w:r>
        <w:rPr>
          <w:rtl w:val="true"/>
        </w:rPr>
        <w:t>וזאת הגם שרימון הלם הינו כלי נשק שפגיעתו המזיקה</w:t>
      </w:r>
      <w:r>
        <w:rPr>
          <w:rtl w:val="true"/>
        </w:rPr>
        <w:t xml:space="preserve">, </w:t>
      </w:r>
      <w:r>
        <w:rPr>
          <w:rtl w:val="true"/>
        </w:rPr>
        <w:t>פחותה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 המאוחר ואומר כבר עתה</w:t>
      </w:r>
      <w:r>
        <w:rPr>
          <w:rtl w:val="true"/>
        </w:rPr>
        <w:t xml:space="preserve">, </w:t>
      </w:r>
      <w:r>
        <w:rPr>
          <w:rtl w:val="true"/>
        </w:rPr>
        <w:t>כי צודק הסנגור המלומד</w:t>
      </w:r>
      <w:r>
        <w:rPr>
          <w:rtl w:val="true"/>
        </w:rPr>
        <w:t xml:space="preserve">, </w:t>
      </w:r>
      <w:r>
        <w:rPr>
          <w:rtl w:val="true"/>
        </w:rPr>
        <w:t>כי שם היו קיימות נסיבות לחומרה שאינם בענייננו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העונש שיושת כאן</w:t>
      </w:r>
      <w:r>
        <w:rPr>
          <w:rtl w:val="true"/>
        </w:rPr>
        <w:t xml:space="preserve">, </w:t>
      </w:r>
      <w:r>
        <w:rPr>
          <w:rtl w:val="true"/>
        </w:rPr>
        <w:t>יהיה מקל יותר מזה שהושת 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 ב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אסמאעיל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שם אישר בית המשפט העליון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על מי שהחזיק אקדח טעון</w:t>
      </w:r>
      <w:r>
        <w:rPr>
          <w:rtl w:val="true"/>
        </w:rPr>
        <w:t xml:space="preserve">, </w:t>
      </w:r>
      <w:r>
        <w:rPr>
          <w:rtl w:val="true"/>
        </w:rPr>
        <w:t>וזאת הגם שהיה אדם צעיר</w:t>
      </w:r>
      <w:r>
        <w:rPr>
          <w:rtl w:val="true"/>
        </w:rPr>
        <w:t xml:space="preserve">, </w:t>
      </w:r>
      <w:r>
        <w:rPr>
          <w:rtl w:val="true"/>
        </w:rPr>
        <w:t>נעדר עבר פלילי ואשר שרות המבחן בא בהמלצות חיוביות לגביו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ושוב צודק הסנגור</w:t>
      </w:r>
      <w:r>
        <w:rPr>
          <w:rtl w:val="true"/>
        </w:rPr>
        <w:t xml:space="preserve">, </w:t>
      </w:r>
      <w:r>
        <w:rPr>
          <w:rtl w:val="true"/>
        </w:rPr>
        <w:t>כי בענייננו</w:t>
      </w:r>
      <w:r>
        <w:rPr>
          <w:rtl w:val="true"/>
        </w:rPr>
        <w:t xml:space="preserve">, </w:t>
      </w:r>
      <w:r>
        <w:rPr>
          <w:rtl w:val="true"/>
        </w:rPr>
        <w:t>לא מדובר באקדח טעון</w:t>
      </w:r>
      <w:r>
        <w:rPr>
          <w:rtl w:val="true"/>
        </w:rPr>
        <w:t xml:space="preserve">, </w:t>
      </w:r>
      <w:r>
        <w:rPr>
          <w:rtl w:val="true"/>
        </w:rPr>
        <w:t>אך מאידך</w:t>
      </w:r>
      <w:r>
        <w:rPr>
          <w:rtl w:val="true"/>
        </w:rPr>
        <w:t xml:space="preserve">, </w:t>
      </w:r>
      <w:r>
        <w:rPr>
          <w:rtl w:val="true"/>
        </w:rPr>
        <w:t>שם לא נעשה שימוש באקדח ואילו כאן וכאמור</w:t>
      </w:r>
      <w:r>
        <w:rPr>
          <w:rtl w:val="true"/>
        </w:rPr>
        <w:t xml:space="preserve">, </w:t>
      </w:r>
      <w:r>
        <w:rPr>
          <w:rtl w:val="true"/>
        </w:rPr>
        <w:t>עשה הנאשם שימוש ברימון ההלם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עם זאת אוסיף ואומר</w:t>
      </w:r>
      <w:r>
        <w:rPr>
          <w:rtl w:val="true"/>
        </w:rPr>
        <w:t xml:space="preserve">, </w:t>
      </w:r>
      <w:r>
        <w:rPr>
          <w:rtl w:val="true"/>
        </w:rPr>
        <w:t>כי גם בענייננו</w:t>
      </w:r>
      <w:r>
        <w:rPr>
          <w:rtl w:val="true"/>
        </w:rPr>
        <w:t xml:space="preserve">, </w:t>
      </w:r>
      <w:r>
        <w:rPr>
          <w:rtl w:val="true"/>
        </w:rPr>
        <w:t>עונשו של הנאשם צריך להיות קל מזה של הנאשם 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30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 ב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נידאל נאסר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אשר גם בו אישר בית המשפט העליון 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אשר הושת על מי שהחזיק אקדח לא תקין </w:t>
      </w:r>
      <w:r>
        <w:rPr>
          <w:rtl w:val="true"/>
        </w:rPr>
        <w:t xml:space="preserve">(!), </w:t>
      </w:r>
      <w:r>
        <w:rPr>
          <w:rtl w:val="true"/>
        </w:rPr>
        <w:t>שהודה בהזדמנות הראשונה ושנקבעו לגביו נסיבות רבות לזכות</w:t>
      </w:r>
      <w:r>
        <w:rPr>
          <w:rtl w:val="true"/>
        </w:rPr>
        <w:t xml:space="preserve">, </w:t>
      </w:r>
      <w:r>
        <w:rPr>
          <w:rtl w:val="true"/>
        </w:rPr>
        <w:t>כמו היותו עובד נאמן ומסור</w:t>
      </w:r>
      <w:r>
        <w:rPr>
          <w:rtl w:val="true"/>
        </w:rPr>
        <w:t xml:space="preserve">, </w:t>
      </w:r>
      <w:r>
        <w:rPr>
          <w:rtl w:val="true"/>
        </w:rPr>
        <w:t>תסקיר שרות מבחן חיובי</w:t>
      </w:r>
      <w:r>
        <w:rPr>
          <w:rtl w:val="true"/>
        </w:rPr>
        <w:t xml:space="preserve">, </w:t>
      </w:r>
      <w:r>
        <w:rPr>
          <w:rtl w:val="true"/>
        </w:rPr>
        <w:t>ועבר פלילי שאינו מכביד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31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עוד אבקש להפנות לדברים שנאמרו ב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2044/11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גנאדי בלוצרקובסקי</w:t>
      </w:r>
      <w:r>
        <w:rPr>
          <w:rtl w:val="true"/>
        </w:rPr>
        <w:t xml:space="preserve">, </w:t>
      </w:r>
      <w:r>
        <w:rPr>
          <w:rtl w:val="true"/>
        </w:rPr>
        <w:t>שם קיבל בית המשפט העליון את ערעורה של המדינה</w:t>
      </w:r>
      <w:r>
        <w:rPr>
          <w:rtl w:val="true"/>
        </w:rPr>
        <w:t xml:space="preserve">, </w:t>
      </w:r>
      <w:r>
        <w:rPr>
          <w:rtl w:val="true"/>
        </w:rPr>
        <w:t>וגזר על הנאשם שם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חלף שישה חודשי מאסר לריצוי בעבודות שרות</w:t>
      </w:r>
      <w:r>
        <w:rPr>
          <w:rtl w:val="true"/>
        </w:rPr>
        <w:t xml:space="preserve">, </w:t>
      </w:r>
      <w:r>
        <w:rPr>
          <w:rtl w:val="true"/>
        </w:rPr>
        <w:t>כפי שגזר בית המשפט המחוזי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המובן מאליו</w:t>
      </w:r>
      <w:r>
        <w:rPr>
          <w:rtl w:val="true"/>
        </w:rPr>
        <w:t xml:space="preserve">, </w:t>
      </w:r>
      <w:r>
        <w:rPr>
          <w:rtl w:val="true"/>
        </w:rPr>
        <w:t xml:space="preserve">כי גזר הדין שם ניתן תוך אימוץ הכלל הידוע ולפיו </w:t>
      </w:r>
      <w:r>
        <w:rPr>
          <w:rtl w:val="true"/>
        </w:rPr>
        <w:t>"</w:t>
      </w:r>
      <w:r>
        <w:rPr>
          <w:b/>
          <w:b/>
          <w:bCs/>
          <w:rtl w:val="true"/>
        </w:rPr>
        <w:t>אין ערכאת הערעור ממצה את חומר הדין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32</w:t>
      </w:r>
      <w:r>
        <w:rPr>
          <w:b/>
          <w:bCs/>
          <w:rtl w:val="true"/>
        </w:rPr>
        <w:t>.</w:t>
        <w:tab/>
      </w:r>
      <w:r>
        <w:rPr>
          <w:rtl w:val="true"/>
        </w:rPr>
        <w:t>לאחר ששקלתי את כל השיקולים הצריכים לחומרה ולקולא</w:t>
      </w:r>
      <w:r>
        <w:rPr>
          <w:rtl w:val="true"/>
        </w:rPr>
        <w:t xml:space="preserve">, </w:t>
      </w:r>
      <w:r>
        <w:rPr>
          <w:rtl w:val="true"/>
        </w:rPr>
        <w:t>לאחר שנתתי דעתי הן לטיעוני הצדדים</w:t>
      </w:r>
      <w:r>
        <w:rPr>
          <w:rtl w:val="true"/>
        </w:rPr>
        <w:t xml:space="preserve">, </w:t>
      </w:r>
      <w:r>
        <w:rPr>
          <w:rtl w:val="true"/>
        </w:rPr>
        <w:t>זה בכה וזה בכה</w:t>
      </w:r>
      <w:r>
        <w:rPr>
          <w:rtl w:val="true"/>
        </w:rPr>
        <w:t xml:space="preserve">, </w:t>
      </w:r>
      <w:r>
        <w:rPr>
          <w:rtl w:val="true"/>
        </w:rPr>
        <w:t>והן לדבריו של הנאשם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 מ</w:t>
      </w:r>
      <w:r>
        <w:rPr>
          <w:rtl w:val="true"/>
        </w:rPr>
        <w:t xml:space="preserve">- </w:t>
      </w:r>
      <w:r>
        <w:rPr/>
        <w:t>8.5.11</w:t>
      </w:r>
      <w:r>
        <w:rPr>
          <w:rtl w:val="true"/>
        </w:rPr>
        <w:t xml:space="preserve"> </w:t>
      </w:r>
      <w:r>
        <w:rPr>
          <w:rtl w:val="true"/>
        </w:rPr>
        <w:t xml:space="preserve">ועד </w:t>
      </w:r>
      <w:r>
        <w:rPr/>
        <w:t>21.6.11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על תנאי והתנאי הוא</w:t>
      </w:r>
      <w:r>
        <w:rPr>
          <w:rtl w:val="true"/>
        </w:rPr>
        <w:t xml:space="preserve">, </w:t>
      </w:r>
      <w:r>
        <w:rPr>
          <w:rtl w:val="true"/>
        </w:rPr>
        <w:t>שהנאשם לא יעבור במשך שלוש שנים עבירות פשע מסוג אלימות</w:t>
      </w:r>
      <w:r>
        <w:rPr>
          <w:rtl w:val="true"/>
        </w:rPr>
        <w:t xml:space="preserve">, </w:t>
      </w:r>
      <w:r>
        <w:rPr>
          <w:rtl w:val="true"/>
        </w:rPr>
        <w:t>או עבירת פשע שעניינה עבירת 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קנס בסך </w:t>
      </w:r>
      <w:r>
        <w:rPr/>
        <w:t>5,000</w:t>
      </w:r>
      <w:r>
        <w:rPr>
          <w:rtl w:val="true"/>
        </w:rPr>
        <w:t xml:space="preserve"> ₪, </w:t>
      </w:r>
      <w:r>
        <w:rPr>
          <w:rtl w:val="true"/>
        </w:rPr>
        <w:t xml:space="preserve">או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הקנס ישולם בעשרה תשלומים</w:t>
      </w:r>
      <w:r>
        <w:rPr>
          <w:rtl w:val="true"/>
        </w:rPr>
        <w:t xml:space="preserve">, </w:t>
      </w:r>
      <w:r>
        <w:rPr>
          <w:rtl w:val="true"/>
        </w:rPr>
        <w:t xml:space="preserve">שווים ורצופים שהראשון שבהם יהיה ביום </w:t>
      </w:r>
      <w:r>
        <w:rPr/>
        <w:t>1.12.11</w:t>
      </w:r>
      <w:r>
        <w:rPr>
          <w:rtl w:val="true"/>
        </w:rPr>
        <w:t xml:space="preserve"> </w:t>
      </w:r>
      <w:r>
        <w:rPr>
          <w:rtl w:val="true"/>
        </w:rPr>
        <w:t>ובכל ראשון לחודש שלאחריו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אי תשלום אחד התשלומים במועדו</w:t>
      </w:r>
      <w:r>
        <w:rPr>
          <w:rtl w:val="true"/>
        </w:rPr>
        <w:t xml:space="preserve">, </w:t>
      </w:r>
      <w:r>
        <w:rPr>
          <w:rtl w:val="true"/>
        </w:rPr>
        <w:t>יעמיד את כל הקנס לפירעון 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 xml:space="preserve">זכות ערעור לבית המשפט העליון 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14/11/2011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אשר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קולה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אני מורה על עיכוב ביצוע עונש המאסר עד ליום </w:t>
      </w:r>
      <w:r>
        <w:rPr/>
        <w:t>5.12.11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במועד זה</w:t>
      </w:r>
      <w:r>
        <w:rPr>
          <w:rtl w:val="true"/>
        </w:rPr>
        <w:t xml:space="preserve">, </w:t>
      </w:r>
      <w:r>
        <w:rPr>
          <w:rtl w:val="true"/>
        </w:rPr>
        <w:t>אלא אם כן תתקבל החלטה אחרת</w:t>
      </w:r>
      <w:r>
        <w:rPr>
          <w:rtl w:val="true"/>
        </w:rPr>
        <w:t xml:space="preserve">, </w:t>
      </w:r>
      <w:r>
        <w:rPr>
          <w:rtl w:val="true"/>
        </w:rPr>
        <w:t xml:space="preserve">יתייצב הנאשם לריצוי עונש במזכירות בית המשפט המחוזי בנצרת עד השעה </w:t>
      </w:r>
      <w:r>
        <w:rPr/>
        <w:t>11:00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תנאי השחרור של הנאשם יוותרו בעינם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14/11/2011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אשר קולה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אשר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קולה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>סיגלית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ערין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בראנסה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31844-05-11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בילאל זרעיני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b/>
        <w:rFonts w:ascii="Arial" w:hAnsi="Arial" w:cs="Aria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Arial" w:hAnsi="Arial" w:cs="Arial"/>
      <w:b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normal-h1">
    <w:name w:val="normal-h1"/>
    <w:qFormat/>
    <w:rPr>
      <w:rFonts w:ascii="Times New Roman" w:hAnsi="Times New Roman" w:cs="Times New Roman"/>
      <w:sz w:val="20"/>
      <w:szCs w:val="20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4" TargetMode="External"/><Relationship Id="rId9" Type="http://schemas.openxmlformats.org/officeDocument/2006/relationships/hyperlink" Target="http://www.nevo.co.il/law/70301/335.a" TargetMode="External"/><Relationship Id="rId10" Type="http://schemas.openxmlformats.org/officeDocument/2006/relationships/hyperlink" Target="http://www.nevo.co.il/law/70301/335.a.1" TargetMode="External"/><Relationship Id="rId11" Type="http://schemas.openxmlformats.org/officeDocument/2006/relationships/hyperlink" Target="http://www.nevo.co.il/law/70301/334" TargetMode="External"/><Relationship Id="rId12" Type="http://schemas.openxmlformats.org/officeDocument/2006/relationships/hyperlink" Target="http://www.nevo.co.il/law/70301/335.a.1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275" TargetMode="External"/><Relationship Id="rId18" Type="http://schemas.openxmlformats.org/officeDocument/2006/relationships/hyperlink" Target="http://www.nevo.co.il/case/6219326" TargetMode="External"/><Relationship Id="rId19" Type="http://schemas.openxmlformats.org/officeDocument/2006/relationships/hyperlink" Target="http://www.nevo.co.il/case/5982047" TargetMode="External"/><Relationship Id="rId20" Type="http://schemas.openxmlformats.org/officeDocument/2006/relationships/hyperlink" Target="http://www.nevo.co.il/case/5880417" TargetMode="External"/><Relationship Id="rId21" Type="http://schemas.openxmlformats.org/officeDocument/2006/relationships/hyperlink" Target="http://www.nevo.co.il/case/5815848" TargetMode="External"/><Relationship Id="rId22" Type="http://schemas.openxmlformats.org/officeDocument/2006/relationships/hyperlink" Target="http://www.nevo.co.il/law/70301/333" TargetMode="External"/><Relationship Id="rId23" Type="http://schemas.openxmlformats.org/officeDocument/2006/relationships/hyperlink" Target="http://www.nevo.co.il/law/70301/335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6030667" TargetMode="External"/><Relationship Id="rId26" Type="http://schemas.openxmlformats.org/officeDocument/2006/relationships/hyperlink" Target="http://www.nevo.co.il/case/5729577" TargetMode="External"/><Relationship Id="rId27" Type="http://schemas.openxmlformats.org/officeDocument/2006/relationships/hyperlink" Target="http://www.nevo.co.il/case/6148595" TargetMode="External"/><Relationship Id="rId28" Type="http://schemas.openxmlformats.org/officeDocument/2006/relationships/hyperlink" Target="http://www.nevo.co.il/case/17939098" TargetMode="External"/><Relationship Id="rId29" Type="http://schemas.openxmlformats.org/officeDocument/2006/relationships/hyperlink" Target="http://www.nevo.co.il/case/6102612" TargetMode="External"/><Relationship Id="rId30" Type="http://schemas.openxmlformats.org/officeDocument/2006/relationships/hyperlink" Target="http://www.nevo.co.il/case/5950172" TargetMode="External"/><Relationship Id="rId31" Type="http://schemas.openxmlformats.org/officeDocument/2006/relationships/hyperlink" Target="http://www.nevo.co.il/case/6024035" TargetMode="External"/><Relationship Id="rId32" Type="http://schemas.openxmlformats.org/officeDocument/2006/relationships/hyperlink" Target="http://www.nevo.co.il/case/5808567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2016-06-21T11:53:00Z</dcterms:created>
  <dc:creator> </dc:creator>
  <dc:description/>
  <cp:keywords/>
  <dc:language>en-IL</dc:language>
  <cp:lastModifiedBy>hofit</cp:lastModifiedBy>
  <dcterms:modified xsi:type="dcterms:W3CDTF">2016-06-21T11:53:00Z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בילאל זרעיני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2849981:10;5614680:3;6219326;5982047;5880417;5815848;6030667;5729577;6148595;17939098;6102612;5950172;6024035;5808567</vt:lpwstr>
  </property>
  <property fmtid="{D5CDD505-2E9C-101B-9397-08002B2CF9AE}" pid="9" name="CITY">
    <vt:lpwstr>נצ'</vt:lpwstr>
  </property>
  <property fmtid="{D5CDD505-2E9C-101B-9397-08002B2CF9AE}" pid="10" name="DATE">
    <vt:lpwstr>20111114</vt:lpwstr>
  </property>
  <property fmtid="{D5CDD505-2E9C-101B-9397-08002B2CF9AE}" pid="11" name="DELEMATA">
    <vt:lpwstr>http://elyon2.court.gov.il/scripts9/mgrqispi93.dll?Appname=eScourt&amp;Prgname=GetFileDetails&amp;Arguments=-N2011-008916-0</vt:lpwstr>
  </property>
  <property fmtid="{D5CDD505-2E9C-101B-9397-08002B2CF9AE}" pid="12" name="ISABSTRACT">
    <vt:lpwstr>Y</vt:lpwstr>
  </property>
  <property fmtid="{D5CDD505-2E9C-101B-9397-08002B2CF9AE}" pid="13" name="JUDGE">
    <vt:lpwstr>אשר קולה</vt:lpwstr>
  </property>
  <property fmtid="{D5CDD505-2E9C-101B-9397-08002B2CF9AE}" pid="14" name="LAWLISTTMP1">
    <vt:lpwstr>70301/334;335.a.1;025;144.b;144.a;275;333;335.a</vt:lpwstr>
  </property>
  <property fmtid="{D5CDD505-2E9C-101B-9397-08002B2CF9AE}" pid="15" name="LAWYER">
    <vt:lpwstr>סימונה בן חיים;עבוד ניזאר</vt:lpwstr>
  </property>
  <property fmtid="{D5CDD505-2E9C-101B-9397-08002B2CF9AE}" pid="16" name="LINKK1">
    <vt:lpwstr>http://www.nevo.co.il/Psika_word/mechozi/ME-11-05-31844-971.doc;להחלטה במחוזי (18-05-2011)#תפ 31844-05-11 מדינת ישראל נ' בילאל זרעיני#שופטים: תאופיק כתילי#עו''ד: שירי שחף, ע"ד ניזאר עבוד</vt:lpwstr>
  </property>
  <property fmtid="{D5CDD505-2E9C-101B-9397-08002B2CF9AE}" pid="17" name="LINKK10">
    <vt:lpwstr>http://www.nevo.co.il/Psika_word/mechozi/ME-11-05-31844-925.doc;להחלטה במחוזי (16-06-2011)#תפ 31844-05-11 מדינת ישראל נ' בילאל זרעיני#שופטים: אשר קולה#עו''ד: שירי שחף, ע"ד ניזאר עבוד</vt:lpwstr>
  </property>
  <property fmtid="{D5CDD505-2E9C-101B-9397-08002B2CF9AE}" pid="18" name="LINKK11">
    <vt:lpwstr>http://www.nevo.co.il/Psika_word/mechozi/ME-11-05-31844-111.doc;להחלטה במחוזי (22-06-2011)#תפ 31844-05-11 מדינת ישראל נ' בילאל זרעיני#שופטים: אשר קולה#עו''ד: שירי שחף, ניזאר עבוד</vt:lpwstr>
  </property>
  <property fmtid="{D5CDD505-2E9C-101B-9397-08002B2CF9AE}" pid="19" name="LINKK12">
    <vt:lpwstr>http://www.nevo.co.il/Psika_word/elyon/11089160-z01.doc;להחלטה בעליון (01-12-2011)#עפ 8916/11 בילאל זרעיני נ' מדינת ישראל#שופטים: נ' הנדל#עו''ד: רימונה שלג</vt:lpwstr>
  </property>
  <property fmtid="{D5CDD505-2E9C-101B-9397-08002B2CF9AE}" pid="20" name="LINKK2">
    <vt:lpwstr>http://www.nevo.co.il/Psika_word/mechozi/ME-11-05-31844-850.doc;להחלטה במחוזי (23-05-2011)#תפ 31844-05-11 מדינת ישראל נ' בילאל זרעיני#שופטים: תאופיק כתילי#עו''ד: עידית רייכרט, ניזאר עבוד</vt:lpwstr>
  </property>
  <property fmtid="{D5CDD505-2E9C-101B-9397-08002B2CF9AE}" pid="21" name="LINKK3">
    <vt:lpwstr>http://www.nevo.co.il/Psika_word/mechozi/ME-11-05-31844-3.doc;להחלטה במחוזי (13-06-2011)#תפ 31844-05-11 מדינת ישראל נ' בילאל זרעיני#שופטים: אשר קולה#עו''ד: הובא, הובא [ הליווי], שירי שחף, ניזאר עבוד</vt:lpwstr>
  </property>
  <property fmtid="{D5CDD505-2E9C-101B-9397-08002B2CF9AE}" pid="22" name="LINKK4">
    <vt:lpwstr>http://www.nevo.co.il/Psika_word/mechozi/ME-11-05-31844-925.doc;להחלטה במחוזי (16-06-2011)#תפ 31844-05-11 מדינת ישראל נ' בילאל זרעיני#שופטים: אשר קולה#עו''ד: שירי שחף, ע"ד ניזאר עבוד</vt:lpwstr>
  </property>
  <property fmtid="{D5CDD505-2E9C-101B-9397-08002B2CF9AE}" pid="23" name="LINKK5">
    <vt:lpwstr>http://www.nevo.co.il/Psika_word/mechozi/ME-11-05-31844-111.doc;להחלטה במחוזי (22-06-2011)#תפ 31844-05-11 מדינת ישראל נ' בילאל זרעיני#שופטים: אשר קולה#עו''ד: שירי שחף, ניזאר עבוד</vt:lpwstr>
  </property>
  <property fmtid="{D5CDD505-2E9C-101B-9397-08002B2CF9AE}" pid="24" name="LINKK6">
    <vt:lpwstr>http://www.nevo.co.il/Psika_word/elyon/11089160-z01.doc;להחלטה בעליון (01-12-2011)#עפ 8916/11 בילאל זרעיני נ' מדינת ישראל#שופטים: נ' הנדל#עו''ד: רימונה שלג</vt:lpwstr>
  </property>
  <property fmtid="{D5CDD505-2E9C-101B-9397-08002B2CF9AE}" pid="25" name="LINKK7">
    <vt:lpwstr>http://www.nevo.co.il/Psika_word/mechozi/ME-11-05-31844-971.doc;להחלטה במחוזי (18-05-2011)#תפ 31844-05-11 מדינת ישראל נ' בילאל זרעיני#שופטים: תאופיק כתילי#עו''ד: שירי שחף, ע"ד ניזאר עבוד</vt:lpwstr>
  </property>
  <property fmtid="{D5CDD505-2E9C-101B-9397-08002B2CF9AE}" pid="26" name="LINKK8">
    <vt:lpwstr>http://www.nevo.co.il/Psika_word/mechozi/ME-11-05-31844-850.doc;להחלטה במחוזי (23-05-2011)#תפ 31844-05-11 מדינת ישראל נ' בילאל זרעיני#שופטים: תאופיק כתילי#עו''ד: עידית רייכרט, ניזאר עבוד</vt:lpwstr>
  </property>
  <property fmtid="{D5CDD505-2E9C-101B-9397-08002B2CF9AE}" pid="27" name="LINKK9">
    <vt:lpwstr>http://www.nevo.co.il/Psika_word/mechozi/ME-11-05-31844-3.doc;להחלטה במחוזי (13-06-2011)#תפ 31844-05-11 מדינת ישראל נ' בילאל זרעיני#שופטים: אשר קולה#עו''ד: הובא, הובא [ הליווי], שירי שחף, ניזאר עבוד</vt:lpwstr>
  </property>
  <property fmtid="{D5CDD505-2E9C-101B-9397-08002B2CF9AE}" pid="28" name="NEWPARTA">
    <vt:lpwstr>31844</vt:lpwstr>
  </property>
  <property fmtid="{D5CDD505-2E9C-101B-9397-08002B2CF9AE}" pid="29" name="NEWPARTB">
    <vt:lpwstr>05</vt:lpwstr>
  </property>
  <property fmtid="{D5CDD505-2E9C-101B-9397-08002B2CF9AE}" pid="30" name="NEWPARTC">
    <vt:lpwstr>11</vt:lpwstr>
  </property>
  <property fmtid="{D5CDD505-2E9C-101B-9397-08002B2CF9AE}" pid="31" name="NEWPROC">
    <vt:lpwstr>תפ</vt:lpwstr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/>
  </property>
  <property fmtid="{D5CDD505-2E9C-101B-9397-08002B2CF9AE}" pid="36" name="PROCNUM">
    <vt:lpwstr/>
  </property>
  <property fmtid="{D5CDD505-2E9C-101B-9397-08002B2CF9AE}" pid="37" name="PROCYEAR">
    <vt:lpwstr/>
  </property>
  <property fmtid="{D5CDD505-2E9C-101B-9397-08002B2CF9AE}" pid="38" name="PSAKDIN">
    <vt:lpwstr>גזר-דין</vt:lpwstr>
  </property>
  <property fmtid="{D5CDD505-2E9C-101B-9397-08002B2CF9AE}" pid="39" name="TYPE">
    <vt:lpwstr>2</vt:lpwstr>
  </property>
  <property fmtid="{D5CDD505-2E9C-101B-9397-08002B2CF9AE}" pid="40" name="TYPE_ABS_DATE">
    <vt:lpwstr>390020111114</vt:lpwstr>
  </property>
  <property fmtid="{D5CDD505-2E9C-101B-9397-08002B2CF9AE}" pid="41" name="TYPE_N_DATE">
    <vt:lpwstr>39020111114</vt:lpwstr>
  </property>
  <property fmtid="{D5CDD505-2E9C-101B-9397-08002B2CF9AE}" pid="42" name="VOLUME">
    <vt:lpwstr/>
  </property>
  <property fmtid="{D5CDD505-2E9C-101B-9397-08002B2CF9AE}" pid="43" name="WORDNUMPAGES">
    <vt:lpwstr>9</vt:lpwstr>
  </property>
</Properties>
</file>