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31918-04-11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קלטשי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אפרתי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קלטשי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סננס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של החזקת נשק שלא כדין ונשיאת נשק שלא כדין בצוותא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 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ביחד עם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  <w:bookmarkStart w:id="9" w:name="ABSTRACT_END"/>
      <w:bookmarkEnd w:id="9"/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כתב האישום המתוקן בו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נגנב אקדח מגני תקווה בין התאריך </w:t>
      </w:r>
      <w:r>
        <w:rPr>
          <w:rFonts w:cs="Arial" w:ascii="Arial" w:hAnsi="Arial"/>
        </w:rPr>
        <w:t>06.10.2009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08.10.2009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ומהמועד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ועד לתאריך שקדם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27.08.2010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 עבר האקדח לרחמין בורוכוב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חברו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בורוכוב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על מנת שיישא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באקדח זה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27.08.2010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02:50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בורוכוב בעת שנהג בקטנוע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שנמלט מזירת פשע בה נפגע מירי אוראל אוחנה עמו היה בורוכוב מסוכסך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בעת מעצרו נשא בורוכוב את האקדח ביחד עם כדור בקנה האקדח ומשתיק 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מחסנית ובתוכה שבעה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בין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לנאשם 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נמחקה עבירת קשירת קשר לביצוע פשע שיוחסה לנאשם בכתב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והוסכם בין הצדדים כי המאשימה תעתור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להגנה נשמרה הזכות לטעון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הוסכם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יעתרו במשותף להטלת עונש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עברו הפלילי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 עבר פלילי הכולל שבע הרשעות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תחילתו ברישום ללא הרשעה משנת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לנוער בארבעה תיקי משטרה שעניינם גניבות רכבים ונהיגה ללא רישיון וללא ביטוח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המשכו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באוקטובר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עת 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בצד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תשלום פיצוי ופיקוח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בגין גרימת חבלה כשהעבריין מזויין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והיזק לרכוש בזדון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בגין התחזות לאחר במטרה להונות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 במילוי תפקידו והפרת הוראה חוקית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מאסרים מותנים וקנס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בגין עבירות רכוש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ביולי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 בגין עבירת קשירת קשר לביצוע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 בגין הפרעה לשוטר במילוי תפקידו ושיבוש הליכי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וביוני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 בגין עבירות איומים והעלבת עובד 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בפברואר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ופיקוח שירות המבחן למשך שנה בגין עבירת פציעה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 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לבית המשפט להשית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בעבירות חמורות של החזקה ונשיאת נשק ללא רישיון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ובהיות הנשק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גנוב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בכדי נקבע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המחוקק עונש חמור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עבירות הקשורות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עקב פוטנציאל הסיכון הרב הקיים בעבירות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 את עברו הפלילי של הנאשם הכולל ריצוי עונשי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והדגישה כי הנאשם לא סיפק הסבר להימצאות הנשק בחזקתו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בהתייחסה להסדר הטיעון עם האחר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בורוכוב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שני הצדדים עתרו להטלת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בורוכוב מאחר והלה היה מעורב באירוע הירי כלפי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בחזקתו נתפס גם משתיק קול ותחמושת ביחד עם האקדח שהכיל כדור בקנה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</w:t>
      </w:r>
      <w:hyperlink r:id="rId11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5187-07-10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חמד ותד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09.11.10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הורשע נאשם באחזקת ונשיאת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ובה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אקדח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אקדח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ונגזרו עליו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2839/05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ראיד עבד אל קאדר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17.11.2005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נדון עניינו של מערער אשר הורשע בנשיאת אקדח בו הייתה מחסנית עם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ונגזרו עליו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ושנה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 בן מרעי אסמאעיל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29.04.10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נעצר נאשם בעודו נושא אקדח טעון בתחמושת ומוכן לירי במצב נצור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גילו הצעיר והיעדר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דחה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את המלצת שירות המבחן להטיל על הנאשם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לגזור על הנאשם עונש שלא יעלה על מחצית מעונשו של בורוכוב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בהדגישו את מעורבותו של בורוכוב באירוע הירי בו נפצע אדם והרשעתו של בורוכוב גם בהחזקת משתיק קול ותחמושת ביחד עם האקדח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הבדל בין החזקה של אקדח בלבד לבין החזקה של אקדח עם משתיק קול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משתיק הקול מעידה על כך שאין עסקינן בהחזקה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התחמושת ביחד עם אקדח היא היוצרת את פוטנציאל הסיכון שבעבירות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לדעתו איננו קיים כאשר מדובר בהחזקת אקדח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להקיש לענייננו מהענישה שהושתה על בורוכוב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ניתן להקיש מהפסיקה אותה 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שעניינה החזקת נשק ותחמושת יחדיו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לקולת העונש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הודיית מרשו שחסכה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והיותו אב לילדה בת פחות משנתיים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לאסופת פסקי דין בהם הושתו עונשים קלים בעבירות נשק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2044/11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גנאדי בלוצרקובסקי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07.07.11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נדון עניינו של נאשם שהטמין שני אקדחים ותחמושת בחדר השינה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בפני שירות המבחן טען הנאשם כי מצא את האקדחים והתחמושת ביער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</w:t>
      </w:r>
      <w:r>
        <w:rPr>
          <w:rFonts w:ascii="Arial" w:hAnsi="Arial" w:cs="Arial"/>
          <w:u w:val="single"/>
          <w:rtl w:val="true"/>
        </w:rPr>
        <w:t xml:space="preserve">אורח חייו הנורמטיבי והודייתו בביצוע העבירה בהזדמנות הראשונה </w:t>
      </w:r>
      <w:r>
        <w:rPr>
          <w:rFonts w:ascii="Arial" w:hAnsi="Arial" w:cs="Arial"/>
          <w:rtl w:val="true"/>
        </w:rPr>
        <w:t>המליץ שירות המבחן על הטלת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המחוזי דחה את המלצת שירות המבחן והטיל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8000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בית המשפט העליון קיבל את ערעור המדינה והעמיד את עונשו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4932/04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תמיר לוי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בתקדין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01.09.04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נדון עניינו של מערער שהורשע בעבירות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סחיטה באיומים וכן בהחזקה ונשיאה של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בית המשפט המחוזי התחשב בכך שהמערער הסתבך בחובות לגורמים מפוקפקים אשר ניסו להורגו בשתי הזדמנויות והוא נזקק לאקדח לצורך הגנה עצמית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בית המשפט העליון דחה את הערעור על חומרת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תל</w:t>
        </w:r>
        <w:r>
          <w:rPr>
            <w:rStyle w:val="Hyperlink"/>
            <w:rFonts w:cs="Arial" w:ascii="Arial" w:hAnsi="Arial"/>
            <w:rtl w:val="true"/>
          </w:rPr>
          <w:t>-</w:t>
        </w:r>
        <w:r>
          <w:rPr>
            <w:rStyle w:val="Hyperlink"/>
            <w:rFonts w:ascii="Arial" w:hAnsi="Arial" w:cs="Arial"/>
            <w:rtl w:val="true"/>
          </w:rPr>
          <w:t>אביב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40259/08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עמיר מולנר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16.06.09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עתרו הצדדים במשותף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על שלושה מהנאשמים שהורשעו בהחזקת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תקופות מאסר בפועל בנות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 וקנסות כספיים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 המשפט קיבל את עתירת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שני הנאשמים שקיבלו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היו צעירים </w:t>
      </w:r>
      <w:r>
        <w:rPr>
          <w:rFonts w:ascii="Arial" w:hAnsi="Arial" w:cs="Arial"/>
          <w:u w:val="single"/>
          <w:rtl w:val="true"/>
        </w:rPr>
        <w:t>חסרי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שקיבל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היה בעל הרשעות קודמות ישנות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9152-02-11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דפראוי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19.06.11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נאשם בביצוע עבירות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וניסיון להחזקת נשק במספר מקרים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עברו הפלילי היה בלתי מכביד והוא לא ריצה בעבר עונש מאסר 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10000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24662-02-11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28.07.11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33435-03-11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14.07.11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במאסרו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21163-03-11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אלמקייס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14.07.11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42834-02-11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14.09.11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עסקינן בנאשם שהורשע בביצוע עבירות של החזקה ונשיאת נשק שלא כדין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 xml:space="preserve">עבירות שפוטנציאל הסיכון בהן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מדובר גם באקדח שנגנב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כלי נשק המוחזקים באופן בלתי חוקי מהווים סכנת חיים גם כאשר הם מוחזקים בידיהם של אנשים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הסכנה גדולה שבעתיים כאשר עבירות אלו מבוצעות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עבריינים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אוראל אוחנה נפגע מירי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שבבדיקת מעבדה התברר שהירי לא בוצע מהאקדח שנתפס בתא המושב של הקטנוע שברשות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עברו הפלילי של הנאשם הינו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כולל שבע הרשעות בנוסף לרישום ללא הרשעה מבית משפט לנוער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ריצה תקופות מאסר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והארוכה בהן בת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פסקי הדין אליהם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העוסקים בנאשמים נעדרי עבר פלילי או בנאשמים שנדונו בפעם הראשונה למאסר מאחורי סורג ובריח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אינם מתאימים לענייננו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שבפני חזר לסורו פעם אחר פעם והרשעתו בעבירות נשק מצביעה רק על הסלמה בהתנהלותו העבריינית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בטרם הגיעו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להסדר טיעון הוגשו מסמכים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מהם עולה כי הנאשם שמר על זכות השתיקה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לא נתן הסבר להימצאות אקדח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כאשר התבקש להתייצב לחקירה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ואשתו מסרה לו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הגיב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 xml:space="preserve">אמרתי לה שאם 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השוטרים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רוצים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שיבואו לקחת אותי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שורות </w:t>
      </w:r>
      <w:r>
        <w:rPr>
          <w:rFonts w:cs="Arial" w:ascii="Arial" w:hAnsi="Arial"/>
        </w:rPr>
        <w:t>15-16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האם יש לגזור גזירה שווה מעונשו של בורוכוב ולהטיל ענישה מקילה יותר על הנאשם</w:t>
      </w:r>
      <w:r>
        <w:rPr>
          <w:rFonts w:cs="Arial" w:ascii="Arial" w:hAnsi="Arial"/>
          <w:rtl w:val="true"/>
        </w:rPr>
        <w:t>?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לכאורה התשובה חיובית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בורוכוב הורשע גם בהחזקה של משתיק קול ותחמושת בנוסף לאקדח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היה אף מעורב באירוע הירי כלפי המתלונן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עברו של בורוכוב כולל הרשעה אחת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במספר תיקי משטרה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ובגינה הוא ריצה עונש מאסר לתקופה בת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הסבירה שם את הסכמת התביעה להסדר הטיעון המקל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קשיים ראייתיים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יפים לענייננו דבריו של בית המשפט העליון ב</w:t>
      </w:r>
      <w:hyperlink r:id="rId2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2839/05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ראיד עבד אל קאדר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17.11.2005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עת דחה את ערעורו של נאשם שנדון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בגין נשיאת אקדח בו הייתה מחסנית עם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למערער הרשעות קודמות והוא אף נשא בעונשי מאסר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מעורבותו בפלילים הפעם מלמדת כי הוא לא למד דבר מלקחי העבר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אדרבא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נשיאת הנשק מצביעה על הסלמה בחומרתן של העבירות אותן הוא מבצע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 צורך לומר עד כמה מסוכנת לציבור התופעה של עבריינים המתהלכים ברחובות כשנשק חם בכיסם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ומכאן הצורך לנקוט בענישה שיש בה מסר של הרתעה לרבים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דבריו אלה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היה הנאשם לענישה מחמירה מעבר לרף העליון שבהסדר הטיעון המונח בפני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המקובץ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לכבד את הסדר הטיעון ברף העליון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השתת מאסר מותנה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בתקווה שהנאשם יירתע מלעבור בעתיד עבירות הקשורות לנשק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מטילה על הנאשם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החל מיום מעצרו בתאריך </w:t>
      </w:r>
      <w:r>
        <w:rPr>
          <w:rFonts w:cs="Arial" w:ascii="Arial" w:hAnsi="Arial"/>
        </w:rPr>
        <w:t>27.08.2010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ממאסר עבירה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תקופת הערעור יוחזר האקדח נשוא התיק דנן לבעליו החוקי לאחר שיציג רישיון נשק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משתיק הקול והתחמושת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יושמדו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הקטנוע שמספר הרישוי שלו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11-791-65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יושב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 לנאשם על זכותו לערער על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הדין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tbl>
      <w:tblPr>
        <w:bidiVisual w:val="true"/>
        <w:tblW w:w="2708" w:type="dxa"/>
        <w:jc w:val="start"/>
        <w:tblInd w:w="1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ט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ז  חשון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נובמבר </w:t>
            </w:r>
            <w:r>
              <w:rPr>
                <w:rFonts w:cs="Arial" w:ascii="Arial" w:hAnsi="Arial"/>
              </w:rPr>
              <w:t>2011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31918-04-11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מאיר קלטשי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073763" TargetMode="External"/><Relationship Id="rId12" Type="http://schemas.openxmlformats.org/officeDocument/2006/relationships/hyperlink" Target="http://www.nevo.co.il/case/5859902" TargetMode="External"/><Relationship Id="rId13" Type="http://schemas.openxmlformats.org/officeDocument/2006/relationships/hyperlink" Target="http://www.nevo.co.il/case/2378964" TargetMode="External"/><Relationship Id="rId14" Type="http://schemas.openxmlformats.org/officeDocument/2006/relationships/hyperlink" Target="http://www.nevo.co.il/case/5808567" TargetMode="External"/><Relationship Id="rId15" Type="http://schemas.openxmlformats.org/officeDocument/2006/relationships/hyperlink" Target="http://www.nevo.co.il/case/5984258" TargetMode="External"/><Relationship Id="rId16" Type="http://schemas.openxmlformats.org/officeDocument/2006/relationships/hyperlink" Target="http://www.nevo.co.il/case/3821954" TargetMode="External"/><Relationship Id="rId17" Type="http://schemas.openxmlformats.org/officeDocument/2006/relationships/hyperlink" Target="http://www.nevo.co.il/case/3788986" TargetMode="External"/><Relationship Id="rId18" Type="http://schemas.openxmlformats.org/officeDocument/2006/relationships/hyperlink" Target="http://www.nevo.co.il/case/2751491" TargetMode="External"/><Relationship Id="rId19" Type="http://schemas.openxmlformats.org/officeDocument/2006/relationships/hyperlink" Target="http://www.nevo.co.il/case/3773034" TargetMode="External"/><Relationship Id="rId20" Type="http://schemas.openxmlformats.org/officeDocument/2006/relationships/hyperlink" Target="http://www.nevo.co.il/case/3733725" TargetMode="External"/><Relationship Id="rId21" Type="http://schemas.openxmlformats.org/officeDocument/2006/relationships/hyperlink" Target="http://www.nevo.co.il/case/5009281" TargetMode="External"/><Relationship Id="rId22" Type="http://schemas.openxmlformats.org/officeDocument/2006/relationships/hyperlink" Target="http://www.nevo.co.il/case/5859902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2016-06-21T11:43:00Z</dcterms:created>
  <dc:creator> </dc:creator>
  <dc:description/>
  <cp:keywords/>
  <dc:language>en-IL</dc:language>
  <cp:lastModifiedBy>hofit</cp:lastModifiedBy>
  <dcterms:modified xsi:type="dcterms:W3CDTF">2016-06-21T11:43:00Z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מאיר קלטשי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ProcID=213&amp;PartA=15&amp;PartC=16</vt:lpwstr>
  </property>
  <property fmtid="{D5CDD505-2E9C-101B-9397-08002B2CF9AE}" pid="9" name="CASESLISTTMP1">
    <vt:lpwstr>5073763;5859902:2;2378964;5808567;5984258;3821954;3788986;2751491;3773034;3733725;5009281</vt:lpwstr>
  </property>
  <property fmtid="{D5CDD505-2E9C-101B-9397-08002B2CF9AE}" pid="10" name="CITY">
    <vt:lpwstr>ת"א</vt:lpwstr>
  </property>
  <property fmtid="{D5CDD505-2E9C-101B-9397-08002B2CF9AE}" pid="11" name="DATE">
    <vt:lpwstr>20111113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יהודית אמסטרדם</vt:lpwstr>
  </property>
  <property fmtid="{D5CDD505-2E9C-101B-9397-08002B2CF9AE}" pid="15" name="LAWLISTTMP1">
    <vt:lpwstr>70301/144.a;144.b;029;144</vt:lpwstr>
  </property>
  <property fmtid="{D5CDD505-2E9C-101B-9397-08002B2CF9AE}" pid="16" name="LAWYER">
    <vt:lpwstr>גלית אפרתי;תמיר סננס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31918</vt:lpwstr>
  </property>
  <property fmtid="{D5CDD505-2E9C-101B-9397-08002B2CF9AE}" pid="23" name="NEWPARTB">
    <vt:lpwstr>04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390020111113</vt:lpwstr>
  </property>
  <property fmtid="{D5CDD505-2E9C-101B-9397-08002B2CF9AE}" pid="35" name="TYPE_N_DATE">
    <vt:lpwstr>39020111113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