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31972-04-12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בולבול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באמצעות פרקליטות מחוז חיפה – פלילי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הילה כץ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בן אחמד בולבול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ביסאן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2.8.12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")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bookmarkStart w:id="11" w:name="ABSTRACT_END"/>
      <w:bookmarkEnd w:id="11"/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").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יריות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קשירת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</w:hyperlink>
      <w:r>
        <w:rPr>
          <w:sz w:val="26"/>
          <w:szCs w:val="26"/>
          <w:rtl w:val="true"/>
        </w:rPr>
        <w:t>.+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+ </w:t>
      </w:r>
      <w:hyperlink r:id="rId33"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37"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קבלת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</w:hyperlink>
      <w:r>
        <w:rPr>
          <w:sz w:val="26"/>
          <w:szCs w:val="26"/>
          <w:rtl w:val="true"/>
        </w:rPr>
        <w:t xml:space="preserve">. + </w:t>
      </w:r>
      <w:hyperlink r:id="rId40"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+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והירי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וחמשת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גנובים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24.3.12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דראגמה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בחנותו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בבאקה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להשתולל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תמין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שבבעלותו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השטחים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ומסירתם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ומכירתם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נמרוד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הונדה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ההונדה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16.2.12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שבפרדס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20.2.12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בואורן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פולקסווגן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טוארג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הפולקסווגן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שבנתניה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לנטיס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ומוודא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הרביעי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האופל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26.2.12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שבבעלותו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ומוודא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רזיאל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הפיז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12.3.12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הפז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ובזול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בוארון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הוחנה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12.3.12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השטחים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31872-04-12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14.11.12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לרכבים</w:t>
      </w:r>
      <w:r>
        <w:rPr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rtl w:val="true"/>
        </w:rPr>
        <w:t>תמין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 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28/11/12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היעדרויות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וכתוב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בבגרותו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האינסטלציה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ודאגה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והתקשתה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להזדהות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שבהתנהגותו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אימפולסיבית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לשלומו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2000</w:t>
      </w:r>
      <w:r>
        <w:rPr>
          <w:sz w:val="26"/>
          <w:szCs w:val="26"/>
          <w:rtl w:val="true"/>
        </w:rPr>
        <w:t xml:space="preserve"> ₪ 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מחירים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אמפטיה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לקורבנות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קווים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התנהגותיים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וחשיבתיים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עבריינים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מובהקים</w:t>
      </w:r>
      <w:r>
        <w:rPr>
          <w:sz w:val="26"/>
          <w:szCs w:val="26"/>
          <w:u w:val="single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משלא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מצא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מקום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להתערבות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טיפולית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הביע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נזקקות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כזו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ובשל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הערכת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קיים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סיכון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גבוה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להישנות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עבירות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דומות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מצד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בעתיד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המליץ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להטיל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ענישה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הרתעתית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ומוחשית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משמעותית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כמאסר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הוטעם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כיוון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האקדח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לשיטתה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להשתולל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3-5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ונפיצות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ממנגנון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בארגון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בהגינותה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ובהמלצתו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ומחמירה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בסיכומם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ולפוסלו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יב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3572728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אגבאריה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חאלד</w:t>
      </w:r>
      <w:r>
        <w:rPr>
          <w:sz w:val="26"/>
          <w:szCs w:val="26"/>
          <w:rtl w:val="true"/>
        </w:rPr>
        <w:t>) 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")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מאמרותיהם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", </w:t>
      </w:r>
      <w:r>
        <w:rPr>
          <w:sz w:val="26"/>
          <w:sz w:val="26"/>
          <w:szCs w:val="26"/>
          <w:rtl w:val="true"/>
        </w:rPr>
        <w:t>אמרת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לשיטת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שחסכה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יחד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ספונטני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לחלופי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חלופין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מושא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התיק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דנן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5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5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5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שמצויינת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וסחר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בנשק</w:t>
      </w:r>
    </w:p>
    <w:p>
      <w:pPr>
        <w:pStyle w:val="ListParagraph"/>
        <w:spacing w:lineRule="auto" w:line="360"/>
        <w:ind w:start="26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עבירות נשק הן מן החמורות שבספר החוקים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הפסיקה המושרשת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המתווה את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מדיניות הענישה הנהוגה</w:t>
      </w:r>
      <w:r>
        <w:rPr>
          <w:rFonts w:cs="Arial" w:ascii="Arial" w:hAnsi="Arial"/>
          <w:sz w:val="26"/>
          <w:szCs w:val="26"/>
          <w:rtl w:val="true"/>
        </w:rPr>
        <w:t>" 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שהיא אחד הפרמטרים לפיו ייקבע מתחם העונש ההולם לפי </w:t>
      </w:r>
      <w:hyperlink r:id="rId5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5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קובעת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במסגרת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ליתן משקל בכורה לאינטרס הציבורי ולהגנה על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הסכנה הרבה הנשקפת מטיב עבירות אלה לחיי האדם וביטחון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לצורך בהרתעת עבריינים מלבצע 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בשים לב לפוטנציאל הקטלני הגלום בעצם השימוש בנשק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מובן ששיקולי הרתעת היחיד והרבים ייבחנו כיום לפי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מעמדם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hyperlink r:id="rId6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בסעיפים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hyperlink r:id="rId61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ז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6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בתוך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). </w:t>
        <w:tab/>
        <w:br/>
      </w:r>
      <w:r>
        <w:rPr>
          <w:rFonts w:ascii="Arial" w:hAnsi="Arial" w:cs="Arial"/>
          <w:sz w:val="26"/>
          <w:sz w:val="26"/>
          <w:szCs w:val="26"/>
          <w:rtl w:val="true"/>
        </w:rPr>
        <w:t>זאת ועוד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המציאות הביטחונית והפלילית השוררת בארצנו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מחייבת נקיטת יד קשה ומחמירה כנגד עברייני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זאת בשים לב לכך כי בשנים האחרונות עדים אנו להתגברות אירועי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חיסול חשבונות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בין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שלא אחת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אזרחים חפים מפשע נקלעים לאירוע ונפגעים במהלכו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השוו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: 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2718/04</w:t>
        </w:r>
      </w:hyperlink>
      <w:r>
        <w:rPr>
          <w:b/>
          <w:b/>
          <w:bCs/>
          <w:sz w:val="26"/>
          <w:sz w:val="26"/>
          <w:szCs w:val="26"/>
          <w:rtl w:val="true"/>
        </w:rPr>
        <w:t>פואד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]  </w:t>
      </w:r>
      <w:r>
        <w:rPr>
          <w:sz w:val="26"/>
          <w:szCs w:val="26"/>
        </w:rPr>
        <w:t>23.9.04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; </w:t>
      </w:r>
      <w:hyperlink r:id="rId6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6583/06</w:t>
        </w:r>
      </w:hyperlink>
      <w:r>
        <w:rPr>
          <w:b/>
          <w:b/>
          <w:bCs/>
          <w:sz w:val="26"/>
          <w:sz w:val="26"/>
          <w:szCs w:val="26"/>
          <w:rtl w:val="true"/>
        </w:rPr>
        <w:t>אגא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, 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] </w:t>
      </w:r>
      <w:r>
        <w:rPr>
          <w:sz w:val="26"/>
          <w:szCs w:val="26"/>
        </w:rPr>
        <w:t>12.7.06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מסָכּנים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ייסוגו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pacing w:val="20"/>
          <w:sz w:val="26"/>
          <w:szCs w:val="26"/>
        </w:rPr>
      </w:pPr>
      <w:r>
        <w:rPr>
          <w:spacing w:val="20"/>
          <w:sz w:val="26"/>
          <w:szCs w:val="26"/>
          <w:rtl w:val="true"/>
        </w:rPr>
      </w:r>
    </w:p>
    <w:p>
      <w:pPr>
        <w:pStyle w:val="Normal"/>
        <w:ind w:start="1179" w:end="1560"/>
        <w:jc w:val="both"/>
        <w:rPr/>
      </w:pPr>
      <w:r>
        <w:rPr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הגיעה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השעה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להעלות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רף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הענישה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בעבירות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נשק</w:t>
      </w:r>
      <w:r>
        <w:rPr>
          <w:rFonts w:cs="Miriam"/>
          <w:b/>
          <w:bCs/>
          <w:spacing w:val="20"/>
          <w:rtl w:val="true"/>
        </w:rPr>
        <w:t>...</w:t>
      </w:r>
      <w:r>
        <w:rPr>
          <w:rFonts w:cs="Miriam"/>
          <w:b/>
          <w:b/>
          <w:bCs/>
          <w:spacing w:val="20"/>
          <w:rtl w:val="true"/>
        </w:rPr>
        <w:t>יש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לקוות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שענישה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מחמירה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בתחום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זה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תרתיע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הסוחרים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בנשק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מובילים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בנשק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ומבצעים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עבירות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דומות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בקשר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לכלי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נשק</w:t>
      </w:r>
      <w:r>
        <w:rPr>
          <w:rFonts w:cs="Miriam"/>
          <w:b/>
          <w:bCs/>
          <w:spacing w:val="20"/>
          <w:rtl w:val="true"/>
        </w:rPr>
        <w:t xml:space="preserve">. </w:t>
      </w:r>
      <w:r>
        <w:rPr>
          <w:rFonts w:cs="Miriam"/>
          <w:b/>
          <w:b/>
          <w:bCs/>
          <w:spacing w:val="20"/>
          <w:rtl w:val="true"/>
        </w:rPr>
        <w:t>המערער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אמנם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Cs/>
          <w:spacing w:val="20"/>
        </w:rPr>
        <w:t>25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ללא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עבר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פלילי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אך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כאשר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עסקינן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בעבירות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חמורות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ומסוכנות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יש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ליתן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משקל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עודף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לאינטרס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הציבורי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פני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נתוניו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האישיים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הנאשם</w:t>
      </w:r>
      <w:r>
        <w:rPr>
          <w:rFonts w:cs="Miriam"/>
          <w:b/>
          <w:bCs/>
          <w:spacing w:val="20"/>
          <w:rtl w:val="true"/>
        </w:rPr>
        <w:t>" .</w:t>
      </w:r>
    </w:p>
    <w:p>
      <w:pPr>
        <w:pStyle w:val="Normal"/>
        <w:spacing w:lineRule="auto" w:line="360"/>
        <w:ind w:start="1179" w:end="1134"/>
        <w:jc w:val="start"/>
        <w:rPr/>
      </w:pPr>
      <w:r>
        <w:rPr>
          <w:sz w:val="26"/>
          <w:szCs w:val="26"/>
          <w:rtl w:val="true"/>
        </w:rPr>
        <w:t>(</w:t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8012/04</w:t>
        </w:r>
      </w:hyperlink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16.11.05</w:t>
      </w:r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>])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ind w:start="1179" w:end="1560"/>
        <w:jc w:val="both"/>
        <w:rPr/>
      </w:pP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הסכנה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הטמונה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בעבירה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החמורה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החזקת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מצדיקה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הטלת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עונשי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לריצוי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בפועל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שזו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עבירתו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הראשונה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בבוא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נכבד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לאינטרס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ולצורך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מלבצע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דומות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העבריין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." </w:t>
      </w:r>
    </w:p>
    <w:p>
      <w:pPr>
        <w:pStyle w:val="Normal"/>
        <w:overflowPunct w:val="false"/>
        <w:autoSpaceDE w:val="false"/>
        <w:spacing w:lineRule="auto" w:line="360"/>
        <w:ind w:start="1179" w:end="1134"/>
        <w:jc w:val="both"/>
        <w:rPr>
          <w:rFonts w:cs="Miriam"/>
          <w:b/>
          <w:bCs/>
          <w:spacing w:val="20"/>
          <w:sz w:val="26"/>
          <w:szCs w:val="26"/>
        </w:rPr>
      </w:pPr>
      <w:r>
        <w:rPr>
          <w:rFonts w:cs="Miriam"/>
          <w:b/>
          <w:bCs/>
          <w:spacing w:val="20"/>
          <w:sz w:val="26"/>
          <w:szCs w:val="26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וכמה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להחמיר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מחזיק</w:t>
      </w:r>
      <w:r>
        <w:rPr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או</w:t>
      </w:r>
      <w:r>
        <w:rPr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נושא</w:t>
      </w:r>
      <w:r>
        <w:rPr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6"/>
          <w:u w:val="single"/>
          <w:rtl w:val="true"/>
        </w:rPr>
        <w:t>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שבפני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בירי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באויר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מהסס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לכוונו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המתלונן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-p"/>
        <w:bidi w:val="1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התופעה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לפתרון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סכסוכים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אמר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ביהמ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cs="David"/>
          <w:sz w:val="26"/>
          <w:szCs w:val="26"/>
          <w:rtl w:val="true"/>
        </w:rPr>
        <w:t xml:space="preserve">: </w:t>
      </w:r>
    </w:p>
    <w:p>
      <w:pPr>
        <w:pStyle w:val="normal-p"/>
        <w:bidi w:val="1"/>
        <w:ind w:start="1179" w:end="1560"/>
        <w:jc w:val="both"/>
        <w:rPr/>
      </w:pP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תופעה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נוראה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פשתה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בחברתנו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כמחלה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ממארת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וחובה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המוטלת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להעלות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תרומתו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קשה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שאסור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לעשות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ויתורים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שאם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נוותר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ונסלח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תתגבר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התופעה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ותלך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חברתנו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הפכה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להיותה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חברה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אלימה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ותרומתו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באלימות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בהטלת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עונשים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ראויים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בבואנו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לגזור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עונשים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עבריינים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שלפנינו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שומה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לשוות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נגד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עינינו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רק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צורכי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שיקומו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;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רק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משפחתו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הסובלת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מעשיו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;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גם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הנפגעים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ממעשיו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הנפגעים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ממעשים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בכוח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שייעשו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נגיב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בחומרה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מעשים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כמעשה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spacing w:val="20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color w:val="000000"/>
          <w:sz w:val="26"/>
          <w:sz w:val="26"/>
          <w:szCs w:val="26"/>
          <w:rtl w:val="true"/>
        </w:rPr>
        <w:t>ע</w:t>
      </w:r>
      <w:r>
        <w:rPr>
          <w:rFonts w:cs="David"/>
          <w:color w:val="000000"/>
          <w:sz w:val="26"/>
          <w:szCs w:val="26"/>
          <w:rtl w:val="true"/>
        </w:rPr>
        <w:t>"</w:t>
      </w:r>
      <w:r>
        <w:rPr>
          <w:rFonts w:cs="David"/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David"/>
          <w:color w:val="000000"/>
          <w:sz w:val="26"/>
          <w:szCs w:val="26"/>
        </w:rPr>
        <w:t>5753/04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ירון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רייכמן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[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פורסם</w:t>
      </w:r>
      <w:r>
        <w:rPr>
          <w:rFonts w:cs="David"/>
          <w:sz w:val="26"/>
          <w:szCs w:val="26"/>
          <w:rtl w:val="true"/>
        </w:rPr>
        <w:t xml:space="preserve">] </w:t>
      </w:r>
      <w:r>
        <w:rPr>
          <w:rFonts w:cs="David"/>
          <w:sz w:val="26"/>
          <w:szCs w:val="26"/>
        </w:rPr>
        <w:t>7.2.05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spacing w:lineRule="auto" w:line="360"/>
        <w:ind w:start="26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חומרתה של עבירת נשיאת הנשק ללא 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מקורה בכך שעבירה זאת נעשית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לאפשר ביצוען של עבירות אחרות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שמעצם טבעו של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כרוכות באלימות או בהפחדה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</w:rPr>
        <w:br/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בהקשר זה ראוי לציין כי האקדח בו עשה הנאשם שימוש לא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הוסגר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לידי המשטרה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צודקת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מכיוון שהנשק לא הוסגר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ניתן לשלול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את האפשרות כי הנשק ישמש בעתיד את הנאשם או אדם אחר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(</w:t>
      </w:r>
      <w:hyperlink r:id="rId6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ט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6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מושא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אישומים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2-6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מצטיירת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מגנבי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שמקבלן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ומפרקן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הפלסטינית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עיסוקו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במכונה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משומנת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נפוצות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והשפעתן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הגניבה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8505" w:leader="none"/>
        </w:tabs>
        <w:ind w:hanging="720" w:start="720"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hanging="720" w:start="720"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יחד</w:t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hanging="720" w:start="720" w:end="0"/>
        <w:jc w:val="start"/>
        <w:rPr>
          <w:sz w:val="26"/>
          <w:szCs w:val="26"/>
        </w:rPr>
      </w:pPr>
      <w:r>
        <w:rPr>
          <w:sz w:val="26"/>
          <w:szCs w:val="26"/>
        </w:rPr>
        <w:t>2,000</w:t>
      </w:r>
      <w:r>
        <w:rPr>
          <w:sz w:val="26"/>
          <w:szCs w:val="26"/>
          <w:rtl w:val="true"/>
        </w:rPr>
        <w:t xml:space="preserve"> ₪ (</w:t>
      </w:r>
      <w:r>
        <w:rPr>
          <w:sz w:val="26"/>
          <w:sz w:val="26"/>
          <w:szCs w:val="26"/>
          <w:rtl w:val="true"/>
        </w:rPr>
        <w:t>ובסה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4,000</w:t>
      </w:r>
      <w:r>
        <w:rPr>
          <w:sz w:val="26"/>
          <w:szCs w:val="26"/>
          <w:rtl w:val="true"/>
        </w:rPr>
        <w:t xml:space="preserve"> ₪).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ורכושו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566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לקביעת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שאינן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קשורות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b/>
          <w:bCs/>
          <w:sz w:val="26"/>
          <w:szCs w:val="26"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הניתנת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 </w:t>
      </w:r>
      <w:r>
        <w:rPr>
          <w:sz w:val="26"/>
          <w:sz w:val="26"/>
          <w:szCs w:val="26"/>
          <w:rtl w:val="true"/>
        </w:rPr>
        <w:t>ואימרתו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להסתבך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והעדיפו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אבהיר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ז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6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סיכומו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בקשת החילוט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 אוכל לסיים מבלי להתייחס לבקשת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לחילוט רכב המאזדה שמספרו </w:t>
      </w:r>
      <w:r>
        <w:rPr>
          <w:rFonts w:cs="Arial" w:ascii="Arial" w:hAnsi="Arial"/>
          <w:sz w:val="26"/>
          <w:szCs w:val="26"/>
        </w:rPr>
        <w:t>572728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הרשום על שם אגבריה חאלד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1"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2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הפלילי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מעצר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וחיפוש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").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</w:t>
      </w:r>
      <w:r>
        <w:rPr>
          <w:rtl w:val="true"/>
        </w:rPr>
        <w:t xml:space="preserve">.".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פסד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:</w:t>
      </w:r>
    </w:p>
    <w:p>
      <w:pPr>
        <w:pStyle w:val="Style14"/>
        <w:ind w:end="1560"/>
        <w:jc w:val="both"/>
        <w:rPr/>
      </w:pPr>
      <w:r>
        <w:rPr>
          <w:rtl w:val="true"/>
          <w:lang w:val="en-IL" w:eastAsia="en-US"/>
        </w:rPr>
        <w:br/>
      </w:r>
      <w:r>
        <w:rPr>
          <w:rFonts w:cs="Miriam"/>
          <w:b/>
          <w:bCs/>
          <w:spacing w:val="20"/>
          <w:rtl w:val="true"/>
        </w:rPr>
        <w:t>"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האמור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בכל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דין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רשאי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בית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המשפט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בנוסף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עונש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שיטיל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לצוות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חילוט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החפץ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שנתפס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לפי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סעיף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Cs/>
          <w:spacing w:val="20"/>
        </w:rPr>
        <w:t>32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או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שהגיע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לידי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המשטרה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כאמור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בסעיף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Cs/>
          <w:spacing w:val="20"/>
        </w:rPr>
        <w:t>33</w:t>
      </w:r>
      <w:r>
        <w:rPr>
          <w:rFonts w:cs="Miriam"/>
          <w:b/>
          <w:bCs/>
          <w:spacing w:val="20"/>
          <w:rtl w:val="true"/>
        </w:rPr>
        <w:t xml:space="preserve">, </w:t>
      </w:r>
      <w:r>
        <w:rPr>
          <w:rFonts w:cs="Miriam"/>
          <w:b/>
          <w:b/>
          <w:bCs/>
          <w:spacing w:val="20"/>
          <w:rtl w:val="true"/>
        </w:rPr>
        <w:t>אם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האדם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שהורשע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במעשה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העבירה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שנעשה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בחפץ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או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לגביו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הוא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בעל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החפץ</w:t>
      </w:r>
      <w:r>
        <w:rPr>
          <w:rFonts w:cs="Miriam"/>
          <w:b/>
          <w:bCs/>
          <w:spacing w:val="20"/>
          <w:rtl w:val="true"/>
        </w:rPr>
        <w:t xml:space="preserve">; </w:t>
      </w:r>
      <w:r>
        <w:rPr>
          <w:rFonts w:cs="Miriam"/>
          <w:b/>
          <w:b/>
          <w:bCs/>
          <w:spacing w:val="20"/>
          <w:rtl w:val="true"/>
        </w:rPr>
        <w:t>דין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צו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זה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כדין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עונש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שהוטל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על</w:t>
      </w:r>
      <w:r>
        <w:rPr>
          <w:rFonts w:cs="Times New Roman"/>
          <w:b/>
          <w:b/>
          <w:bCs/>
          <w:spacing w:val="20"/>
          <w:rtl w:val="true"/>
        </w:rPr>
        <w:t xml:space="preserve"> </w:t>
      </w:r>
      <w:r>
        <w:rPr>
          <w:rFonts w:cs="Miriam"/>
          <w:b/>
          <w:b/>
          <w:bCs/>
          <w:spacing w:val="20"/>
          <w:rtl w:val="true"/>
        </w:rPr>
        <w:t>הנאשם</w:t>
      </w:r>
      <w:r>
        <w:rPr>
          <w:rFonts w:cs="Miriam"/>
          <w:b/>
          <w:bCs/>
          <w:spacing w:val="20"/>
          <w:rtl w:val="true"/>
        </w:rPr>
        <w:t>"</w:t>
      </w:r>
      <w:r>
        <w:rPr>
          <w:spacing w:val="20"/>
          <w:rtl w:val="true"/>
        </w:rPr>
        <w:t xml:space="preserve">. </w:t>
      </w:r>
    </w:p>
    <w:p>
      <w:pPr>
        <w:pStyle w:val="Style13"/>
        <w:ind w:firstLine="720" w:end="0"/>
        <w:jc w:val="both"/>
        <w:rPr>
          <w:spacing w:val="20"/>
          <w:lang w:val="en-IL" w:eastAsia="en-US"/>
        </w:rPr>
      </w:pPr>
      <w:r>
        <w:rPr>
          <w:spacing w:val="20"/>
          <w:rtl w:val="true"/>
          <w:lang w:val="en-IL" w:eastAsia="en-US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u w:val="single"/>
          <w:rtl w:val="true"/>
        </w:rPr>
        <w:t>החפץ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. </w:t>
      </w:r>
      <w:r>
        <w:rPr>
          <w:u w:val="single"/>
          <w:rtl w:val="true"/>
        </w:rPr>
        <w:t>האדם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623/78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סורני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523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4148/92</w:t>
        </w:r>
      </w:hyperlink>
      <w:r>
        <w:rPr>
          <w:b/>
          <w:b/>
          <w:bCs/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6234/03</w:t>
        </w:r>
      </w:hyperlink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זיתאוי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]). </w:t>
      </w:r>
    </w:p>
    <w:p>
      <w:pPr>
        <w:pStyle w:val="Style13"/>
        <w:ind w:end="0"/>
        <w:jc w:val="both"/>
        <w:rPr/>
      </w:pP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פסד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להעניק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מצמצמת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הואיל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נועדה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לפגוע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במעורבים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1982/93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בנק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לאומי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238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7-6</w:t>
      </w:r>
      <w:r>
        <w:rPr>
          <w:rtl w:val="true"/>
        </w:rPr>
        <w:t xml:space="preserve">). </w:t>
      </w:r>
    </w:p>
    <w:p>
      <w:pPr>
        <w:pStyle w:val="Style13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u w:val="single"/>
          <w:rtl w:val="true"/>
        </w:rPr>
        <w:t>האדם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שהורשע</w:t>
      </w:r>
      <w:r>
        <w:rPr>
          <w:u w:val="single"/>
          <w:rtl w:val="true"/>
        </w:rPr>
        <w:t xml:space="preserve">"–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החפץ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. </w:t>
      </w:r>
      <w:r>
        <w:rPr>
          <w:rtl w:val="true"/>
        </w:rPr>
        <w:t>ל</w:t>
      </w:r>
      <w:hyperlink r:id="rId8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Style13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')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אמרותיהם של המתלונן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')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ושל אביו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מעיון באמרתו של הנאשם עולה כי הנאשם טען שבבעלותו רכב מסוג פיג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 </w:t>
      </w:r>
      <w:r>
        <w:rPr>
          <w:rFonts w:cs="Arial" w:ascii="Arial" w:hAnsi="Arial"/>
          <w:sz w:val="26"/>
          <w:szCs w:val="26"/>
        </w:rPr>
        <w:t>306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שנתפס על ידי 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ובנוסף קנה רכב מסוג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מאזדה לנטיס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בצבע שמפניה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מבלי שציין את מספר הרישוי שלו או את שנת הייצור של הרכב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textAlignment w:val="top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דראגמה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5.4.12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מאזדה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בז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ומכאן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שמפניה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שתיארו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והרי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שמפניה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5776/05</w:t>
        </w:r>
      </w:hyperlink>
      <w:r>
        <w:rPr>
          <w:b/>
          <w:b/>
          <w:bCs/>
          <w:rtl w:val="true"/>
        </w:rPr>
        <w:t>ראובן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)). </w:t>
      </w:r>
    </w:p>
    <w:p>
      <w:pPr>
        <w:pStyle w:val="Style13"/>
        <w:ind w:end="0"/>
        <w:jc w:val="both"/>
        <w:rPr/>
      </w:pP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Style13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מכל הטעמים שפורטו לעיל ולאחר ששקלתי את כל השיקולים לחומרא ולקולא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ותוך התחשבות בהסדר הטיעון אליו הגיע תמים עם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)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בגין עבירות הנשק שבאישום הראשון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גוזר עליו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)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מכלול העבירות בהן הורשע באישומים </w:t>
      </w:r>
      <w:r>
        <w:rPr>
          <w:rFonts w:cs="Arial" w:ascii="Arial" w:hAnsi="Arial"/>
          <w:sz w:val="26"/>
          <w:szCs w:val="26"/>
        </w:rPr>
        <w:t>2-6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גוזר עליו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textAlignment w:val="top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שני עונשי המאסר בפועל ירוצו באופן מצטבר כך שסה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כ ירצה הנאשם </w:t>
      </w:r>
      <w:r>
        <w:rPr>
          <w:rFonts w:cs="Arial" w:ascii="Arial" w:hAnsi="Arial"/>
          <w:b/>
          <w:bCs/>
          <w:sz w:val="26"/>
          <w:szCs w:val="26"/>
          <w:u w:val="single"/>
        </w:rPr>
        <w:t>4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וחצי שנות מאסר בפועל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בניכוי תקופת מעצרו מיום </w:t>
      </w:r>
      <w:r>
        <w:rPr>
          <w:rFonts w:cs="Arial" w:ascii="Arial" w:hAnsi="Arial"/>
          <w:b/>
          <w:bCs/>
          <w:sz w:val="26"/>
          <w:szCs w:val="26"/>
        </w:rPr>
        <w:t>2.4.12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textAlignment w:val="top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יודגש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קבעתי את העונש בצד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הנמוך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 בשל הודאתו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היעדר עבר פלילי לחובתו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היות זה מאסרו הראשון ושיקלול תקופת המאסר בפועל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הכוללת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שמושתת עליו בגין תיק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)</w:t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לבל יבצע במשך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כל עבירה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 עבירה הכרוכה בשימוש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.(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)</w:t>
        <w:tab/>
      </w:r>
      <w:r>
        <w:rPr>
          <w:rFonts w:cs="Arial" w:ascii="Arial" w:hAnsi="Arial"/>
          <w:sz w:val="26"/>
          <w:szCs w:val="26"/>
        </w:rPr>
        <w:t>12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לבל יבצע במשך שנתיים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 עבירת רכוש מסוג 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)</w:t>
        <w:tab/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לבל יבצע במשך שנתיים כל עבירת רכוש מסוג עוון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אני פוסל את הנאשם מלקבל או להחזיק רשיון נהיגה במשך שלוש שנים מיום שחרורו מן המאסר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בשל מצבו הסוציואקונומי של הנאשם ותקופת המאסר שנגזרה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מצאתי לראוי לגזור עליו 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הודעה לנאשם זכות הערעור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ascii="Arial" w:hAnsi="Arial" w:cs="Arial"/>
          <w:rtl w:val="true"/>
        </w:rPr>
        <w:t xml:space="preserve">דצמבר 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כח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drawing>
          <wp:inline distT="0" distB="0" distL="0" distR="0">
            <wp:extent cx="1857375" cy="112395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9" t="-32" r="-1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  <w:lang w:val="en-IL" w:eastAsia="en-IL"/>
              </w:rPr>
              <w:drawing>
                <wp:inline distT="0" distB="0" distL="0" distR="0">
                  <wp:extent cx="1379220" cy="715010"/>
                  <wp:effectExtent l="0" t="0" r="0" b="0"/>
                  <wp:docPr id="2" name="Picture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715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er"/>
        <w:spacing w:lineRule="auto" w:line="360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31972-04-12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אחמד בולבול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236993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0236993&amp;lt;/CaseID&amp;gt;_x005F_x000d__x005F_x000a_        &amp;lt;CaseMonth&amp;gt;4&amp;lt;/CaseMonth&amp;gt;_x005F_x000d__x005F_x000a_        &amp;lt;CaseYear&amp;gt;2012&amp;lt;/CaseYear&amp;gt;_x005F_x000d__x005F_x000a_        &amp;lt;CaseNumber&amp;gt;31972&amp;lt;/CaseNumber&amp;gt;_x005F_x000d__x005F_x000a_        &amp;lt;NumeratorGroupID&amp;gt;1&amp;lt;/NumeratorGroupID&amp;gt;_x005F_x000d__x005F_x000a_        &amp;lt;CaseName&amp;gt;îãéðú éùøàì ð&amp;#39; áåìáåì(òöéø)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31972-04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4-22T12:05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åæîï îúåøâîï ìùôä äòøáéú ìãéåï áéåí 5.1.12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1&amp;lt;/ArchivingActivity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true&amp;lt;/IsExistDetainee&amp;gt;_x005F_x000d__x005F_x000a_        &amp;lt;IsDebitExist&amp;gt;false&amp;lt;/IsDebitExist&amp;gt;_x005F_x000d__x005F_x000a_        &amp;lt;DebitExsitDate&amp;gt;2012-12-05T03:00:00+02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0236993&amp;lt;/CaseID&amp;gt;_x005F_x000d__x005F_x000a_        &amp;lt;CaseMonth&amp;gt;4&amp;lt;/CaseMonth&amp;gt;_x005F_x000d__x005F_x000a_        &amp;lt;CaseYear&amp;gt;2012&amp;lt;/CaseYear&amp;gt;_x005F_x000d__x005F_x000a_        &amp;lt;CaseNumber&amp;gt;31972&amp;lt;/CaseNumber&amp;gt;_x005F_x000d__x005F_x000a_        &amp;lt;NumeratorGroupID&amp;gt;1&amp;lt;/NumeratorGroupID&amp;gt;_x005F_x000d__x005F_x000a_        &amp;lt;CaseName&amp;gt;îãéðú éùøàì ð&amp;#39; áåìáåì(òöéø)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10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31972-04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4-22T12:05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äåæîï îúåøâîï ìùôä äòøáéú ìãéåï áéåí 5.1.12&amp;lt;/CaseDesc&amp;gt;_x005F_x000d__x005F_x000a_        &amp;lt;ArchivingActivityID&amp;gt;1&amp;lt;/ArchivingActivity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3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82955503&amp;lt;/DecisionID&amp;gt;_x005F_x000d__x005F_x000a_        &amp;lt;DecisionName&amp;gt;âæø ãéï  îúàøéê  22/11/12  ùðéúðä ò&amp;quot;é  îùä âìòã&amp;lt;/DecisionName&amp;gt;_x005F_x000d__x005F_x000a_        &amp;lt;DecisionStatusID&amp;gt;1&amp;lt;/DecisionStatusID&amp;gt;_x005F_x000d__x005F_x000a_        &amp;lt;DecisionStatusChangeDate&amp;gt;2012-12-05T09:16:30.233+02:00&amp;lt;/DecisionStatusChangeDate&amp;gt;_x005F_x000d__x005F_x000a_        &amp;lt;DecisionSignatureDate&amp;gt;2012-11-22T09:43:24.283+02:00&amp;lt;/DecisionSignatureDate&amp;gt;_x005F_x000d__x005F_x000a_        &amp;lt;DecisionSignatureUserID&amp;gt;067578955@GOV.IL&amp;lt;/DecisionSignatureUserID&amp;gt;_x005F_x000d__x005F_x000a_        &amp;lt;DecisionCreateDate&amp;gt;2012-11-22T09:48:34.543+02:00&amp;lt;/DecisionCreateDate&amp;gt;_x005F_x000d__x005F_x000a_        &amp;lt;DecisionChangeDate&amp;gt;2012-12-05T09:16:30.287+02:00&amp;lt;/DecisionChangeDate&amp;gt;_x005F_x000d__x005F_x000a_        &amp;lt;DecisionChangeUserID&amp;gt;031804206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50754424&amp;lt;/DocumentID&amp;gt;_x005F_x000d__x005F_x000a_        &amp;lt;PrivilegeID&amp;gt;1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67578955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31804206@GOV.IL&amp;lt;/DecisionCreationUserID&amp;gt;_x005F_x000d__x005F_x000a_        &amp;lt;DecisionDisplayName&amp;gt;âæø ãéï  îúàøéê  22/11/12  ùðéúðä ò&amp;quot;é  îùä âìòã&amp;lt;/DecisionDisplayName&amp;gt;_x005F_x000d__x005F_x000a_        &amp;lt;IsScanned&amp;gt;false&amp;lt;/IsScanned&amp;gt;_x005F_x000d__x005F_x000a_        &amp;lt;DecisionSignatureUserName&amp;gt;îùä âìòã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&amp;lt;/dt_Decision&amp;gt;_x005F_x000d__x005F_x000a_      &amp;lt;dt_DecisionCase diffgr:id=&amp;quot;dt_DecisionCase1&amp;quot; msdata:rowOrder=&amp;quot;0&amp;quot;&amp;gt;_x005F_x000d__x005F_x000a_        &amp;lt;DecisionID&amp;gt;82955503&amp;lt;/DecisionID&amp;gt;_x005F_x000d__x005F_x000a_        &amp;lt;CaseID&amp;gt;70236993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áåìáåì(òöéø)&amp;lt;/CaseName&amp;gt;_x005F_x000d__x005F_x000a_        &amp;lt;CaseDisplayIdentifier&amp;gt;31972-04-12 ú&amp;quot;ô&amp;lt;/CaseDisplayIdentifier&amp;gt;_x005F_x000d__x005F_x000a_      &amp;lt;/dt_DecisionCase&amp;gt;_x005F_x000d__x005F_x000a_    &amp;lt;/DecisionDS&amp;gt;_x005F_x000d__x005F_x000a_  &amp;lt;/diffgr:diffgram&amp;gt;_x005F_x000d__x005F_x000a_&amp;lt;/DecisionDS&amp;gt;"/>
    <w:docVar w:name="DecisionID" w:val="82955503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ëåìí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Style11">
    <w:name w:val="תבנית רגיל תו"/>
    <w:qFormat/>
    <w:rPr>
      <w:rFonts w:cs="David"/>
      <w:sz w:val="26"/>
      <w:szCs w:val="26"/>
      <w:lang w:val="en-IL" w:bidi="he-IL"/>
    </w:rPr>
  </w:style>
  <w:style w:type="character" w:styleId="Style12">
    <w:name w:val="תבנית ציטוט תו"/>
    <w:basedOn w:val="Style11"/>
    <w:qFormat/>
    <w:rPr/>
  </w:style>
  <w:style w:type="character" w:styleId="CharChar">
    <w:name w:val=" Char Char"/>
    <w:qFormat/>
    <w:rPr>
      <w:rFonts w:cs="David"/>
      <w:b/>
      <w:bCs/>
      <w:sz w:val="24"/>
      <w:szCs w:val="24"/>
      <w:lang w:val="en-IL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Style13">
    <w:name w:val="תבנית רגיל"/>
    <w:basedOn w:val="Normal"/>
    <w:qFormat/>
    <w:pPr>
      <w:spacing w:lineRule="auto" w:line="360"/>
      <w:ind w:hanging="0" w:start="0" w:end="0"/>
      <w:jc w:val="both"/>
    </w:pPr>
    <w:rPr>
      <w:sz w:val="26"/>
      <w:szCs w:val="26"/>
    </w:rPr>
  </w:style>
  <w:style w:type="paragraph" w:styleId="Style14">
    <w:name w:val="תבנית ציטוט"/>
    <w:basedOn w:val="Style13"/>
    <w:next w:val="Style13"/>
    <w:qFormat/>
    <w:pPr>
      <w:spacing w:lineRule="auto" w:line="240"/>
      <w:ind w:hanging="0" w:start="1644" w:end="1281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j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/413c" TargetMode="External"/><Relationship Id="rId17" Type="http://schemas.openxmlformats.org/officeDocument/2006/relationships/hyperlink" Target="http://www.nevo.co.il/law/70301/413j" TargetMode="External"/><Relationship Id="rId18" Type="http://schemas.openxmlformats.org/officeDocument/2006/relationships/hyperlink" Target="http://www.nevo.co.il/law/70301/413jb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4918" TargetMode="External"/><Relationship Id="rId21" Type="http://schemas.openxmlformats.org/officeDocument/2006/relationships/hyperlink" Target="http://www.nevo.co.il/law/74918/32" TargetMode="External"/><Relationship Id="rId22" Type="http://schemas.openxmlformats.org/officeDocument/2006/relationships/hyperlink" Target="http://www.nevo.co.il/law/74918/32.a" TargetMode="External"/><Relationship Id="rId23" Type="http://schemas.openxmlformats.org/officeDocument/2006/relationships/hyperlink" Target="http://www.nevo.co.il/law/74918/39" TargetMode="External"/><Relationship Id="rId24" Type="http://schemas.openxmlformats.org/officeDocument/2006/relationships/hyperlink" Target="http://www.nevo.co.il/law/74918/39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13j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c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13j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13c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4508088" TargetMode="External"/><Relationship Id="rId46" Type="http://schemas.openxmlformats.org/officeDocument/2006/relationships/hyperlink" Target="http://www.nevo.co.il/law/70301/413jb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c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jc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jc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c.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f" TargetMode="External"/><Relationship Id="rId61" Type="http://schemas.openxmlformats.org/officeDocument/2006/relationships/hyperlink" Target="http://www.nevo.co.il/law/70301/40g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852404" TargetMode="External"/><Relationship Id="rId64" Type="http://schemas.openxmlformats.org/officeDocument/2006/relationships/hyperlink" Target="http://www.nevo.co.il/case/6072945" TargetMode="External"/><Relationship Id="rId65" Type="http://schemas.openxmlformats.org/officeDocument/2006/relationships/hyperlink" Target="http://www.nevo.co.il/case/6118595" TargetMode="External"/><Relationship Id="rId66" Type="http://schemas.openxmlformats.org/officeDocument/2006/relationships/hyperlink" Target="http://www.nevo.co.il/law/70301/40i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f;40g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4918/32" TargetMode="External"/><Relationship Id="rId71" Type="http://schemas.openxmlformats.org/officeDocument/2006/relationships/hyperlink" Target="http://www.nevo.co.il/law/74918/39.a" TargetMode="External"/><Relationship Id="rId72" Type="http://schemas.openxmlformats.org/officeDocument/2006/relationships/hyperlink" Target="http://www.nevo.co.il/law/74918" TargetMode="External"/><Relationship Id="rId73" Type="http://schemas.openxmlformats.org/officeDocument/2006/relationships/hyperlink" Target="http://www.nevo.co.il/law/74918/32.a" TargetMode="External"/><Relationship Id="rId74" Type="http://schemas.openxmlformats.org/officeDocument/2006/relationships/hyperlink" Target="http://www.nevo.co.il/law/74918/39.a" TargetMode="External"/><Relationship Id="rId75" Type="http://schemas.openxmlformats.org/officeDocument/2006/relationships/hyperlink" Target="http://www.nevo.co.il/law/74918/32" TargetMode="External"/><Relationship Id="rId76" Type="http://schemas.openxmlformats.org/officeDocument/2006/relationships/hyperlink" Target="http://www.nevo.co.il/case/17929014" TargetMode="External"/><Relationship Id="rId77" Type="http://schemas.openxmlformats.org/officeDocument/2006/relationships/hyperlink" Target="http://www.nevo.co.il/case/17922225" TargetMode="External"/><Relationship Id="rId78" Type="http://schemas.openxmlformats.org/officeDocument/2006/relationships/hyperlink" Target="http://www.nevo.co.il/case/6055128" TargetMode="External"/><Relationship Id="rId79" Type="http://schemas.openxmlformats.org/officeDocument/2006/relationships/hyperlink" Target="http://www.nevo.co.il/law/74918/39.a" TargetMode="External"/><Relationship Id="rId80" Type="http://schemas.openxmlformats.org/officeDocument/2006/relationships/hyperlink" Target="http://www.nevo.co.il/case/17914099" TargetMode="External"/><Relationship Id="rId81" Type="http://schemas.openxmlformats.org/officeDocument/2006/relationships/hyperlink" Target="http://www.nevo.co.il/law/70301/40j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4918/39" TargetMode="External"/><Relationship Id="rId84" Type="http://schemas.openxmlformats.org/officeDocument/2006/relationships/hyperlink" Target="http://www.nevo.co.il/case/6032306" TargetMode="External"/><Relationship Id="rId85" Type="http://schemas.openxmlformats.org/officeDocument/2006/relationships/image" Target="media/image1.jpeg"/><Relationship Id="rId86" Type="http://schemas.openxmlformats.org/officeDocument/2006/relationships/image" Target="media/image2.png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2016-03-27T15:06:00Z</dcterms:created>
  <dc:creator> </dc:creator>
  <dc:description/>
  <cp:keywords/>
  <dc:language>en-IL</dc:language>
  <cp:lastModifiedBy>run</cp:lastModifiedBy>
  <cp:lastPrinted>2012-12-05T09:14:00Z</cp:lastPrinted>
  <dcterms:modified xsi:type="dcterms:W3CDTF">2016-03-27T15:06:00Z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בן אחמד בולבול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4508088;6072945;6118595;17929014;17922225;6055128;17914099;6032306</vt:lpwstr>
  </property>
  <property fmtid="{D5CDD505-2E9C-101B-9397-08002B2CF9AE}" pid="9" name="CITY">
    <vt:lpwstr>חי'</vt:lpwstr>
  </property>
  <property fmtid="{D5CDD505-2E9C-101B-9397-08002B2CF9AE}" pid="10" name="DATE">
    <vt:lpwstr>20121205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70301/144.b;340a;499.a.1;413j:2;029:4;025:2;413c:2;413jb;144.a;040b;040c.a:2;40jc.a;40jc.b;040f:2;040g:2;040i;040j</vt:lpwstr>
  </property>
  <property fmtid="{D5CDD505-2E9C-101B-9397-08002B2CF9AE}" pid="15" name="LAWLISTTMP2">
    <vt:lpwstr>74918/032:2;039.a:3;032.a;039</vt:lpwstr>
  </property>
  <property fmtid="{D5CDD505-2E9C-101B-9397-08002B2CF9AE}" pid="16" name="LAWYER">
    <vt:lpwstr>הילה כץ;סאמר ביסאן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31972</vt:lpwstr>
  </property>
  <property fmtid="{D5CDD505-2E9C-101B-9397-08002B2CF9AE}" pid="23" name="NEWPARTB">
    <vt:lpwstr>04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390020121205</vt:lpwstr>
  </property>
  <property fmtid="{D5CDD505-2E9C-101B-9397-08002B2CF9AE}" pid="35" name="TYPE_N_DATE">
    <vt:lpwstr>39020121205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