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בקריית גת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31982-02-13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שטיינברג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נועה חקלאי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אולג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שטיינברג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  <w:tr>
        <w:trPr>
          <w:trHeight w:val="35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r>
              <w:rPr>
                <w:rFonts w:cs="FrankRuehl" w:ascii="Arial" w:hAnsi="Arial"/>
                <w:sz w:val="32"/>
                <w:szCs w:val="32"/>
                <w:rtl w:val="true"/>
              </w:rPr>
            </w:r>
            <w:bookmarkStart w:id="2" w:name="LawTable"/>
            <w:bookmarkStart w:id="3" w:name="PsakDin"/>
            <w:bookmarkStart w:id="4" w:name="LawTable"/>
            <w:bookmarkStart w:id="5" w:name="PsakDin"/>
            <w:bookmarkEnd w:id="4"/>
            <w:bookmarkEnd w:id="5"/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ascii="FrankRuehl" w:hAnsi="FrankRuehl" w:cs="FrankRuehl"/>
                <w:rtl w:val="true"/>
              </w:rPr>
              <w:t>חקיקה שאוזכרה</w:t>
            </w:r>
            <w:r>
              <w:rPr>
                <w:rFonts w:cs="FrankRuehl" w:ascii="FrankRuehl" w:hAnsi="FrankRuehl"/>
                <w:rtl w:val="true"/>
              </w:rPr>
              <w:t xml:space="preserve">: </w:t>
            </w:r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hyperlink r:id="rId2"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חוק העונשין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 xml:space="preserve">, 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תשל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ascii="FrankRuehl" w:hAnsi="FrankRuehl" w:cs="FrankRuehl"/>
                  <w:color w:val="0000FF"/>
                  <w:u w:val="single"/>
                  <w:rtl w:val="true"/>
                </w:rPr>
                <w:t>ז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  <w:rtl w:val="true"/>
                </w:rPr>
                <w:t>-</w:t>
              </w:r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1977</w:t>
              </w:r>
            </w:hyperlink>
            <w:r>
              <w:rPr>
                <w:rFonts w:cs="FrankRuehl" w:ascii="FrankRuehl" w:hAnsi="FrankRuehl"/>
                <w:rtl w:val="true"/>
              </w:rPr>
              <w:t xml:space="preserve">: </w:t>
            </w:r>
            <w:r>
              <w:rPr>
                <w:rFonts w:ascii="FrankRuehl" w:hAnsi="FrankRuehl" w:cs="FrankRuehl"/>
                <w:rtl w:val="true"/>
              </w:rPr>
              <w:t>סע</w:t>
            </w:r>
            <w:r>
              <w:rPr>
                <w:rFonts w:cs="FrankRuehl" w:ascii="FrankRuehl" w:hAnsi="FrankRuehl"/>
                <w:rtl w:val="true"/>
              </w:rPr>
              <w:t xml:space="preserve">'  </w:t>
            </w:r>
            <w:hyperlink r:id="rId3">
              <w:r>
                <w:rPr>
                  <w:rStyle w:val="Hyperlink"/>
                  <w:rFonts w:cs="FrankRuehl" w:ascii="FrankRuehl" w:hAnsi="FrankRuehl"/>
                  <w:color w:val="0000FF"/>
                  <w:u w:val="single"/>
                </w:rPr>
                <w:t>144</w:t>
              </w:r>
            </w:hyperlink>
          </w:p>
          <w:p>
            <w:pPr>
              <w:pStyle w:val="Normal"/>
              <w:spacing w:lineRule="exact" w:line="240" w:before="0" w:after="120"/>
              <w:ind w:hanging="283" w:start="283" w:end="0"/>
              <w:jc w:val="both"/>
              <w:rPr>
                <w:rFonts w:ascii="FrankRuehl" w:hAnsi="FrankRuehl" w:cs="FrankRuehl"/>
              </w:rPr>
            </w:pPr>
            <w:r>
              <w:rPr>
                <w:rFonts w:cs="FrankRuehl" w:ascii="FrankRuehl" w:hAnsi="FrankRuehl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LawTable_End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bookmarkStart w:id="7" w:name="ABSTRACT_START"/>
      <w:bookmarkEnd w:id="7"/>
      <w:r>
        <w:rPr>
          <w:rFonts w:ascii="Calibri" w:hAnsi="Calibri" w:cs="Calibri"/>
          <w:rtl w:val="true"/>
        </w:rPr>
        <w:t xml:space="preserve">הנאשם הורשע על פי הודאתו בכתב אישום מתוקן המייחס לו עבירות בנשק בניגוד </w:t>
      </w:r>
      <w:hyperlink r:id="rId4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לסעיף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</w:rPr>
          <w:t>144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רישא וסיפא ל</w:t>
      </w:r>
      <w:hyperlink r:id="rId5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העונשין</w:t>
        </w:r>
      </w:hyperlink>
      <w:r>
        <w:rPr>
          <w:rFonts w:ascii="Calibri" w:hAnsi="Calibri" w:cs="Calibri"/>
          <w:rtl w:val="true"/>
        </w:rPr>
        <w:t xml:space="preserve"> התשל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ז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1977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על פי עובדות כתב האישום המתוקן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בתאריך </w:t>
      </w:r>
      <w:r>
        <w:rPr>
          <w:rFonts w:cs="Calibri" w:ascii="Calibri" w:hAnsi="Calibri"/>
        </w:rPr>
        <w:t>26.7.12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החזיק הנאשם בתוך משרד הנמצא במסעדה שבבעלותו בנשק</w:t>
      </w:r>
      <w:r>
        <w:rPr>
          <w:rFonts w:cs="Calibri" w:ascii="Calibri" w:hAnsi="Calibri"/>
          <w:rtl w:val="true"/>
        </w:rPr>
        <w:t xml:space="preserve">:  </w:t>
      </w:r>
      <w:r>
        <w:rPr>
          <w:rFonts w:ascii="Calibri" w:hAnsi="Calibri" w:cs="Calibri"/>
          <w:rtl w:val="true"/>
        </w:rPr>
        <w:t>צינור מתכתי דמוי 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עט מאולתר המסוגל לירות באמצעותו כדורים מתוצרת קליבר </w:t>
      </w:r>
      <w:r>
        <w:rPr>
          <w:rFonts w:cs="Calibri" w:ascii="Calibri" w:hAnsi="Calibri"/>
        </w:rPr>
        <w:t>LR</w:t>
      </w:r>
      <w:r>
        <w:rPr>
          <w:rFonts w:cs="Calibri" w:ascii="Calibri" w:hAnsi="Calibri"/>
        </w:rPr>
        <w:t xml:space="preserve"> 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ובכוחו להמית אדם או להזיק לו וכן החזיק בתחמושת</w:t>
      </w:r>
      <w:r>
        <w:rPr>
          <w:rFonts w:cs="Calibri" w:ascii="Calibri" w:hAnsi="Calibri"/>
          <w:rtl w:val="true"/>
        </w:rPr>
        <w:t xml:space="preserve">: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בקליבר 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 xml:space="preserve">LR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הסדר הטיעון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ביום </w:t>
      </w:r>
      <w:r>
        <w:rPr>
          <w:rFonts w:cs="Calibri" w:ascii="Calibri" w:hAnsi="Calibri"/>
        </w:rPr>
        <w:t>14.6.16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הציגו הצדדים הסדר טיעון לפיו יודה  בכתב אישום מתוקן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יורשע 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ישלח לשירות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עמדת המאשימה למאסר שיכול וירוצה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מותנה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קנס והתחייבות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ההגנה תיטען פתוח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תוך הסתפקות במאסר מותנה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תסקיר שירות המבחן וחוות דעת הממונה על עבודות השירות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בתסקיר מיום </w:t>
      </w:r>
      <w:r>
        <w:rPr>
          <w:rFonts w:cs="Calibri" w:ascii="Calibri" w:hAnsi="Calibri"/>
        </w:rPr>
        <w:t>1.1.17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סקר שירות המבחן את הרקע האישי והמשפחתי של הנאשם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הנאשם בן </w:t>
      </w:r>
      <w:r>
        <w:rPr>
          <w:rFonts w:cs="Calibri" w:ascii="Calibri" w:hAnsi="Calibri"/>
        </w:rPr>
        <w:t>54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נשוי ואב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ניהל מסעדה בבעלותו ששימשה גם כאולם אירועים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לפני כ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המסעדה פשטה רגל בעקבות העבירה ובעקות מצב בטחוני רעוע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באשר לעבירה הנוכחית מסר הנאשם כי את הנשק קיבל מאחד מהאורחים במסעדה לאחר שהאורח ראה את אוסף כלי הנשק המדומים התלויים על קירות המסעדה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הוצגו תמונות של האוסף לבית המשפט</w:t>
      </w:r>
      <w:r>
        <w:rPr>
          <w:rFonts w:cs="Calibri" w:ascii="Calibri" w:hAnsi="Calibri"/>
          <w:rtl w:val="true"/>
        </w:rPr>
        <w:t xml:space="preserve">). </w:t>
      </w:r>
      <w:r>
        <w:rPr>
          <w:rFonts w:ascii="Calibri" w:hAnsi="Calibri" w:cs="Calibri"/>
          <w:rtl w:val="true"/>
        </w:rPr>
        <w:t>שירות המבחן התרשם כי הנאשם נוקט גישה מצמצמת ביחס לעבירה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שירות המבחן מסר כי אין בידו להעריך את המסוכנות הנשקפת מהנאשם בשל היעדר מוכנות של הנאשם לאפשר היכרות מספקת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נמנע מלבוא בהמלצה בעניינו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 xml:space="preserve">בתסקיר מיום </w:t>
      </w:r>
      <w:r>
        <w:rPr>
          <w:rFonts w:cs="Calibri" w:ascii="Calibri" w:hAnsi="Calibri"/>
        </w:rPr>
        <w:t>9.5.17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כי לדברי הנאשם מכר את כל אוסף הסכינים שהיו ברשותו וכי הוא מנהל אורח חיים נורמטיבי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באשר לחלקי הנשק שנמצאו ברשותו מסר כי לא היה צריך להקל בכך ראש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הביע חרטה על אופן התנהלותו והביע נכונות לבצע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שירות המבחן ציין שהנאשם שיתף בפתיחות רבה יותר מבעבר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לאור האמור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המליץ שירות המבחן על ענישה  בדמות של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צ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 מותנה וקנס משמעותי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numPr>
          <w:ilvl w:val="0"/>
          <w:numId w:val="4"/>
        </w:numPr>
        <w:spacing w:lineRule="exact" w:line="300" w:before="120" w:after="0"/>
        <w:ind w:hanging="360" w:start="360" w:end="0"/>
        <w:contextualSpacing/>
        <w:jc w:val="both"/>
        <w:rPr>
          <w:rFonts w:ascii="David" w:hAnsi="David" w:cs="David"/>
        </w:rPr>
      </w:pP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highlight w:val="yellow"/>
          <w:u w:val="single"/>
        </w:rPr>
      </w:pPr>
      <w:r>
        <w:rPr>
          <w:rFonts w:cs="Calibri" w:ascii="Calibri" w:hAnsi="Calibri"/>
          <w:b/>
          <w:bCs/>
          <w:highlight w:val="yellow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טיעוני הצדדים לעונש</w:t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הפנתה לחומרת הנסיבות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לדבריה מתחם העונש ההולם בעבירה של החזקת תחמושת נע בין </w:t>
      </w:r>
      <w:r>
        <w:rPr>
          <w:rFonts w:cs="Calibri" w:ascii="Calibri" w:hAnsi="Calibri"/>
        </w:rPr>
        <w:t>0-12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ובעבירה של החזקת נשק נע בין </w:t>
      </w:r>
      <w:r>
        <w:rPr>
          <w:rFonts w:cs="Calibri" w:ascii="Calibri" w:hAnsi="Calibri"/>
        </w:rPr>
        <w:t>12-48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הגישה פסיקה לתמיכה בטיעוניה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המאשימה מודעת לכך שהוצג הסדר שחורג לקולה מהמתחם ועל כן עתרה לאמץ ההסדר ברף העליון שבו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הנאשם הגיש תמונות צבעוניות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מסומן נ</w:t>
      </w:r>
      <w:r>
        <w:rPr>
          <w:rFonts w:cs="Calibri" w:ascii="Calibri" w:hAnsi="Calibri"/>
          <w:rtl w:val="true"/>
        </w:rPr>
        <w:t>/</w:t>
      </w:r>
      <w:r>
        <w:rPr>
          <w:rFonts w:cs="Calibri" w:ascii="Calibri" w:hAnsi="Calibri"/>
        </w:rPr>
        <w:t>1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של אוסף העתקי כלי הנשק אשר היה תלוי על קירות משרדו של 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לדבריו בעקבות העבירה מכר הנאשם את כל האוסף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ציין שהנאשם הודה ולקח אחריות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הפנה לחלוף הזמן ממועד ביצוע העבירה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לכך שהנאשם פשט רגל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 לעבוד בחו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 לפרנסתו בכדי להשיב חובותיו ולא התחמק מן הדין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 xml:space="preserve">כ הנאשם הפנה לגילו של הנאשם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55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 xml:space="preserve">ולמצבו הבריאותו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חולה סכרת</w:t>
      </w:r>
      <w:r>
        <w:rPr>
          <w:rFonts w:cs="Calibri" w:ascii="Calibri" w:hAnsi="Calibri"/>
          <w:rtl w:val="true"/>
        </w:rPr>
        <w:t xml:space="preserve">)  </w:t>
      </w:r>
      <w:r>
        <w:rPr>
          <w:rFonts w:ascii="Calibri" w:hAnsi="Calibri" w:cs="Calibri"/>
          <w:rtl w:val="true"/>
        </w:rPr>
        <w:t>וביקש לאמץ את המלצת שירות המבחן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כ הנאשם הפנה לפסיקה התומכת בטיעוניו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cs="Calibri" w:ascii="Calibri" w:hAnsi="Calibri"/>
          <w:highlight w:val="yellow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הנאשם ביקש לומר דברים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לדבריו מדובר באוסף שהחזיק בו במשך </w:t>
      </w:r>
      <w:r>
        <w:rPr>
          <w:rFonts w:cs="Calibri" w:ascii="Calibri" w:hAnsi="Calibri"/>
        </w:rPr>
        <w:t>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שנים וכי הוא לקח אחריות על כל מעשיו ומצטער על הטעות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ציין כי מכר חלק מהאוסף וזרק את השאר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ציין שהוא כותב שירים ושייצג את מדינת ישראל במדינות רבות כזמר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עוד מציין כי היות ונפגם קולו אין ביכולתו לעבוד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start="360" w:end="0"/>
        <w:contextualSpacing/>
        <w:jc w:val="both"/>
        <w:rPr>
          <w:rFonts w:ascii="Calibri" w:hAnsi="Calibri" w:cs="Calibri"/>
          <w:highlight w:val="yellow"/>
        </w:rPr>
      </w:pPr>
      <w:r>
        <w:rPr>
          <w:rFonts w:eastAsia="Calibri" w:cs="Calibri" w:ascii="Calibri" w:hAnsi="Calibri"/>
          <w:highlight w:val="yellow"/>
          <w:rtl w:val="true"/>
        </w:rPr>
        <w:t xml:space="preserve"> 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36"/>
          <w:szCs w:val="36"/>
          <w:highlight w:val="yellow"/>
          <w:u w:val="single"/>
        </w:rPr>
      </w:pPr>
      <w:r>
        <w:rPr>
          <w:rFonts w:cs="Calibri" w:ascii="Calibri" w:hAnsi="Calibri"/>
          <w:b/>
          <w:bCs/>
          <w:sz w:val="36"/>
          <w:szCs w:val="36"/>
          <w:highlight w:val="yellow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cs="Calibri" w:ascii="Calibri" w:hAnsi="Calibri"/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cs="Calibri" w:ascii="Calibri" w:hAnsi="Calibri"/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cs="Calibri" w:ascii="Calibri" w:hAnsi="Calibri"/>
          <w:b/>
          <w:bCs/>
          <w:sz w:val="36"/>
          <w:szCs w:val="36"/>
          <w:u w:val="single"/>
          <w:rtl w:val="true"/>
        </w:rPr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rFonts w:ascii="Calibri" w:hAnsi="Calibri" w:cs="Calibri"/>
          <w:b/>
          <w:b/>
          <w:bCs/>
          <w:sz w:val="36"/>
          <w:sz w:val="36"/>
          <w:szCs w:val="36"/>
          <w:u w:val="single"/>
          <w:rtl w:val="true"/>
        </w:rPr>
        <w:t>דיון</w:t>
      </w:r>
    </w:p>
    <w:p>
      <w:pPr>
        <w:pStyle w:val="Normal"/>
        <w:spacing w:before="0" w:after="200"/>
        <w:ind w:end="0"/>
        <w:jc w:val="both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254" w:before="0" w:after="160"/>
        <w:ind w:start="360"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360" w:end="0"/>
        <w:contextualSpacing/>
        <w:jc w:val="both"/>
        <w:rPr>
          <w:rFonts w:ascii="David" w:hAnsi="David" w:cs="David"/>
          <w:color w:val="000000"/>
        </w:rPr>
      </w:pPr>
      <w:r>
        <w:rPr>
          <w:b/>
          <w:b/>
          <w:bCs/>
          <w:color w:val="000000"/>
          <w:rtl w:val="true"/>
        </w:rPr>
        <w:t>הערך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המוגן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שנפגע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וביטחונו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David" w:hAnsi="David" w:cs="David"/>
          <w:color w:val="000000"/>
        </w:rPr>
      </w:pPr>
      <w:r>
        <w:rPr>
          <w:rFonts w:cs="David" w:ascii="David" w:hAnsi="David"/>
          <w:color w:val="000000"/>
          <w:rtl w:val="true"/>
        </w:rPr>
      </w:r>
    </w:p>
    <w:p>
      <w:pPr>
        <w:pStyle w:val="Normal"/>
        <w:spacing w:before="0" w:after="120"/>
        <w:ind w:start="36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בית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6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4945/13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סלימאן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19.1.14</w:t>
      </w:r>
      <w:r>
        <w:rPr>
          <w:color w:val="000000"/>
          <w:rtl w:val="true"/>
        </w:rPr>
        <w:t xml:space="preserve">): </w:t>
      </w:r>
    </w:p>
    <w:p>
      <w:pPr>
        <w:pStyle w:val="Normal"/>
        <w:spacing w:before="0" w:after="120"/>
        <w:ind w:start="720" w:end="426"/>
        <w:contextualSpacing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הרסני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וביטחונו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לפעילות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לקיפוח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אזרחים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אכן</w:t>
      </w:r>
      <w:r>
        <w:rPr>
          <w:color w:val="000000"/>
          <w:rtl w:val="true"/>
        </w:rPr>
        <w:t>, "</w:t>
      </w:r>
      <w:r>
        <w:rPr>
          <w:color w:val="000000"/>
          <w:rtl w:val="true"/>
        </w:rPr>
        <w:t>התגלגלותם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להוביל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להגעתם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לגורמים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ועוינים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בגורלם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תוצאות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הרסניות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יובילו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שנשקף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color w:val="000000"/>
          <w:rtl w:val="true"/>
        </w:rPr>
        <w:t>-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קטילה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שיתפתה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ברגעי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ופחד</w:t>
      </w:r>
      <w:r>
        <w:rPr>
          <w:color w:val="000000"/>
          <w:rtl w:val="true"/>
        </w:rPr>
        <w:t>".</w:t>
      </w:r>
    </w:p>
    <w:p>
      <w:pPr>
        <w:pStyle w:val="Normal"/>
        <w:spacing w:before="0" w:after="120"/>
        <w:ind w:start="720" w:end="426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120"/>
        <w:ind w:hanging="360" w:start="360" w:end="0"/>
        <w:contextualSpacing/>
        <w:jc w:val="both"/>
        <w:rPr>
          <w:rFonts w:cs="Arial"/>
          <w:color w:val="000000"/>
          <w:sz w:val="22"/>
          <w:szCs w:val="22"/>
        </w:rPr>
      </w:pP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המרבי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שנקבע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בחוק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7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>.</w:t>
      </w:r>
    </w:p>
    <w:p>
      <w:pPr>
        <w:pStyle w:val="Normal"/>
        <w:spacing w:before="0" w:after="120"/>
        <w:ind w:start="360" w:end="0"/>
        <w:contextualSpacing/>
        <w:jc w:val="both"/>
        <w:rPr>
          <w:rFonts w:cs="Arial"/>
          <w:color w:val="000000"/>
          <w:sz w:val="22"/>
          <w:szCs w:val="22"/>
        </w:rPr>
      </w:pPr>
      <w:r>
        <w:rPr>
          <w:rtl w:val="true"/>
          <w:lang w:eastAsia="he-IL"/>
        </w:rPr>
        <w:t>עבירת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שהוכרה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בפסיקה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כמכת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מדינה</w:t>
      </w:r>
      <w:r>
        <w:rPr>
          <w:rtl w:val="true"/>
          <w:lang w:eastAsia="he-IL"/>
        </w:rPr>
        <w:t xml:space="preserve">" </w:t>
      </w:r>
      <w:r>
        <w:rPr>
          <w:rtl w:val="true"/>
          <w:lang w:eastAsia="he-IL"/>
        </w:rPr>
        <w:t>שפגיעתה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ובטחונו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הוכח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פלילי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בכלי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מצדיקה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 xml:space="preserve">: </w:t>
      </w:r>
      <w:hyperlink r:id="rId7">
        <w:r>
          <w:rPr>
            <w:rStyle w:val="Hyperlink"/>
            <w:rFonts w:cs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/>
            <w:color w:val="0000FF"/>
            <w:u w:val="single"/>
          </w:rPr>
          <w:t>27417-11-15</w:t>
        </w:r>
      </w:hyperlink>
      <w:r>
        <w:rPr>
          <w:color w:val="000000"/>
          <w:rtl w:val="true"/>
        </w:rPr>
        <w:t xml:space="preserve"> ( </w:t>
      </w:r>
      <w:r>
        <w:rPr>
          <w:color w:val="000000"/>
          <w:rtl w:val="true"/>
        </w:rPr>
        <w:t>מרכז</w:t>
      </w:r>
      <w:r>
        <w:rPr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עבד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רחים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17.1.16</w:t>
      </w:r>
      <w:r>
        <w:rPr>
          <w:color w:val="000000"/>
          <w:rtl w:val="true"/>
        </w:rPr>
        <w:t xml:space="preserve">), </w:t>
      </w:r>
      <w:r>
        <w:rPr>
          <w:rFonts w:cs="Times New Roman"/>
          <w:color w:val="000000"/>
        </w:rPr>
        <w:t>49160-11-15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מרכז</w:t>
      </w:r>
      <w:r>
        <w:rPr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10.4.16</w:t>
      </w:r>
      <w:r>
        <w:rPr>
          <w:color w:val="000000"/>
          <w:rtl w:val="true"/>
        </w:rPr>
        <w:t xml:space="preserve">), </w:t>
      </w:r>
      <w:hyperlink r:id="rId8">
        <w:r>
          <w:rPr>
            <w:rStyle w:val="Hyperlink"/>
            <w:rFonts w:cs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/>
            <w:color w:val="0000FF"/>
            <w:u w:val="single"/>
          </w:rPr>
          <w:t>15337-10-14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אבר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7.12.14</w:t>
      </w:r>
      <w:r>
        <w:rPr>
          <w:color w:val="000000"/>
          <w:rtl w:val="true"/>
        </w:rPr>
        <w:t>).</w:t>
      </w:r>
      <w:r>
        <w:rPr>
          <w:rFonts w:cs="Arial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cs="Arial"/>
          <w:color w:val="000000"/>
          <w:sz w:val="22"/>
          <w:szCs w:val="22"/>
          <w:highlight w:val="yellow"/>
          <w:lang w:eastAsia="he-IL"/>
        </w:rPr>
      </w:pPr>
      <w:r>
        <w:rPr>
          <w:rFonts w:cs="Arial"/>
          <w:color w:val="000000"/>
          <w:sz w:val="22"/>
          <w:szCs w:val="22"/>
          <w:highlight w:val="yellow"/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pacing w:lineRule="auto" w:line="360" w:before="0" w:after="16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b/>
          <w:b/>
          <w:bCs/>
          <w:rtl w:val="true"/>
          <w:lang w:eastAsia="he-IL"/>
        </w:rPr>
        <w:t>מידת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הפגיעה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בערך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המוגן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ברף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הגבוה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והתחמושת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הוחזקו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במשרד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ובסופו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פגיעה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קונקרטית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בבטחון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הציבור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napToGrid w:val="false"/>
        <w:spacing w:lineRule="auto" w:line="360" w:before="120" w:after="0"/>
        <w:ind w:hanging="360" w:start="360" w:end="0"/>
        <w:contextualSpacing/>
        <w:jc w:val="both"/>
        <w:rPr>
          <w:lang w:eastAsia="he-IL"/>
        </w:rPr>
      </w:pPr>
      <w:r>
        <w:rPr>
          <w:rFonts w:ascii="Calibri" w:hAnsi="Calibri" w:cs="Calibri"/>
          <w:b/>
          <w:b/>
          <w:bCs/>
          <w:rtl w:val="true"/>
        </w:rPr>
        <w:t>באשר לנסיבות הקשורות בביצוע העבירות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נתתי דעתי לכך שעסקינן בנשק מאולתר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דמוי עט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 שלדברי הנאשם קיבל את הנשק על מנת לצרפו לאוסף העתקי כלי הנשק שתלוי על קירות משרדו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לכך שלא נעשה שימוש בנשק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הנשק לא היה טעון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הוחזק במקום שאינו נגיש לציבור הרחב</w:t>
      </w:r>
      <w:r>
        <w:rPr>
          <w:rFonts w:cs="Calibri" w:ascii="Calibri" w:hAnsi="Calibri"/>
          <w:rtl w:val="true"/>
        </w:rPr>
        <w:t>.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נטען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שימוש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לרעה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תכנן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לעשות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כן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276" w:before="0" w:after="200"/>
        <w:ind w:start="720" w:end="0"/>
        <w:contextualSpacing/>
        <w:jc w:val="both"/>
        <w:rPr>
          <w:rFonts w:ascii="Calibri" w:hAnsi="Calibri" w:cs="Calibri"/>
          <w:lang w:eastAsia="he-IL"/>
        </w:rPr>
      </w:pPr>
      <w:r>
        <w:rPr>
          <w:rFonts w:cs="Calibri" w:ascii="Calibri" w:hAnsi="Calibri"/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napToGrid w:val="false"/>
        <w:spacing w:lineRule="exact" w:line="300" w:before="120" w:after="0"/>
        <w:ind w:hanging="360"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מדיניות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הענישה</w:t>
      </w:r>
      <w:r>
        <w:rPr>
          <w:rFonts w:cs="Times New Roman"/>
          <w:b/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הנוהגת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ביחס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מפסקי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הדין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שלהלן</w:t>
      </w:r>
      <w:r>
        <w:rPr>
          <w:rtl w:val="true"/>
          <w:lang w:eastAsia="he-IL"/>
        </w:rPr>
        <w:t>:</w:t>
      </w:r>
    </w:p>
    <w:p>
      <w:pPr>
        <w:pStyle w:val="Normal"/>
        <w:spacing w:before="0" w:after="200"/>
        <w:ind w:start="720" w:end="0"/>
        <w:contextualSpacing/>
        <w:jc w:val="both"/>
        <w:rPr>
          <w:highlight w:val="yellow"/>
          <w:lang w:eastAsia="he-IL"/>
        </w:rPr>
      </w:pPr>
      <w:r>
        <w:rPr>
          <w:highlight w:val="yellow"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9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5646/15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תיהאווי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14.2.16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הורשע בעבירה של החזקת נשק בצוותא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באקדח טעון במחסנית שהוסלק מתחת לשטיח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העונש ההולם ע בין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שנות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200"/>
        <w:ind w:hanging="360" w:start="720" w:end="0"/>
        <w:contextualSpacing/>
        <w:jc w:val="both"/>
        <w:rPr>
          <w:rFonts w:ascii="Calibri" w:hAnsi="Calibri" w:cs="Calibri"/>
        </w:rPr>
      </w:pPr>
      <w:hyperlink r:id="rId10">
        <w:r>
          <w:rPr>
            <w:rStyle w:val="Hyperlink"/>
            <w:rFonts w:ascii="Calibri" w:hAnsi="Calibri" w:cs="Calibri"/>
            <w:rtl w:val="true"/>
          </w:rPr>
          <w:t>ע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 xml:space="preserve">פ </w:t>
        </w:r>
        <w:r>
          <w:rPr>
            <w:rStyle w:val="Hyperlink"/>
            <w:rFonts w:cs="Calibri" w:ascii="Calibri" w:hAnsi="Calibri"/>
          </w:rPr>
          <w:t>2398/14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</w:hyperlink>
      <w:r>
        <w:rPr>
          <w:rFonts w:ascii="Calibri" w:hAnsi="Calibri" w:cs="Calibri"/>
          <w:b/>
          <w:b/>
          <w:bCs/>
          <w:rtl w:val="true"/>
        </w:rPr>
        <w:t>אלהזייל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8.7.14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המערער הודה והורשע בעבירה של החזקת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המערער נתפס כשברכבו אקדח ובו מחסנית עם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כדורים וקופסא נוספת ובה </w:t>
      </w:r>
      <w:r>
        <w:rPr>
          <w:rFonts w:cs="Calibri" w:ascii="Calibri" w:hAnsi="Calibri"/>
        </w:rPr>
        <w:t>38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 נוספים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של </w:t>
      </w:r>
      <w:r>
        <w:rPr>
          <w:rFonts w:cs="Calibri" w:ascii="Calibri" w:hAnsi="Calibri"/>
        </w:rPr>
        <w:t>24-10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נגזרו על המערער </w:t>
      </w:r>
      <w:r>
        <w:rPr>
          <w:rFonts w:cs="Calibri" w:ascii="Calibri" w:hAnsi="Calibri"/>
        </w:rPr>
        <w:t>13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 ומאסר על תנאי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1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3288/14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קריספל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24.8.14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הורשע בעבירות של החזקת נשק והחזקת רכוש חשוד כגנוב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באקדח ומשתיק קול אשר היה טעון במחסנית ובה שבעה 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בין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 – </w:t>
      </w:r>
      <w:r>
        <w:rPr>
          <w:rFonts w:cs="Calibri" w:ascii="Calibri" w:hAnsi="Calibri"/>
        </w:rPr>
        <w:t>22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נגזרו על הנאשם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התקבל ערעור המדינה על קולת העונש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העליון העמיד עונשו על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2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18780-06-14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 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עאזם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נ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מדינת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ישראל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</w:hyperlink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14.9.14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הורשע בהחזקת אקדח וכדורי אקדח ברכבו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לנאשם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הנע בין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24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נגזרו על הנאשם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נדחה ערעורו של הנאשם</w:t>
      </w:r>
      <w:r>
        <w:rPr>
          <w:rFonts w:cs="Calibri" w:ascii="Calibri" w:hAnsi="Calibri"/>
          <w:rtl w:val="true"/>
        </w:rPr>
        <w:t xml:space="preserve">.  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3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7502/12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כוויס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 xml:space="preserve">מדינת ישראל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25.6.13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הודה והורשע  בעבירה של 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בביתו באקדח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שתי מחסניות לאקדח ו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 אקדח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7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נדחה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4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5604/11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נאסר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5.10.11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הודה והורשע בעבירה של החזקת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בחזקת הנאשם נתפסו אקדח ומחסנית ובה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כדורים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נידון ל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5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מח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לוד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39796-06-12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חטיב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20.3.13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הורשע בעבירה של החזקת נשק וחלק מנשק שלא כדין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על הנאשם הוטלו </w:t>
      </w:r>
      <w:r>
        <w:rPr>
          <w:rFonts w:cs="Calibri" w:ascii="Calibri" w:hAnsi="Calibri"/>
        </w:rPr>
        <w:t>12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הנאשם נדחה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6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עפ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מח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-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לוד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12058-07-12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זמירו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21.10.12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הודה והורשע בעבירה של החזקת 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במחסן בשני אקדחים ובהם מחסניות תואמות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וכן מחסנית תואמת נוספת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נעדר עבר פלילי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10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נדחה ערעורו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2"/>
        </w:numPr>
        <w:spacing w:before="0" w:after="120"/>
        <w:ind w:hanging="360" w:start="720" w:end="0"/>
        <w:contextualSpacing/>
        <w:jc w:val="both"/>
        <w:rPr>
          <w:rFonts w:ascii="Calibri" w:hAnsi="Calibri" w:cs="Calibri"/>
        </w:rPr>
      </w:pPr>
      <w:hyperlink r:id="rId17"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מח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' </w:t>
        </w:r>
        <w:r>
          <w:rPr>
            <w:rStyle w:val="Hyperlink"/>
            <w:rFonts w:ascii="Calibri" w:hAnsi="Calibri" w:cs="Times New Roman"/>
            <w:color w:val="0000FF"/>
            <w:u w:val="single"/>
            <w:rtl w:val="true"/>
          </w:rPr>
          <w:t>מרכז–לוד</w:t>
        </w:r>
        <w:r>
          <w:rPr>
            <w:rStyle w:val="Hyperlink"/>
            <w:rFonts w:cs="Times New Roman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Times New Roman" w:ascii="Calibri" w:hAnsi="Calibri"/>
            <w:color w:val="0000FF"/>
            <w:u w:val="single"/>
          </w:rPr>
          <w:t>57617-02-14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b/>
          <w:b/>
          <w:bCs/>
          <w:rtl w:val="true"/>
        </w:rPr>
        <w:t>ריאן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מדינת ישראל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16.11.14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הנאשם 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 שמיעת הראיות בעבירה של החזקת נשק והחזקת אביזר נשק ותחמושת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החזיק בסמוך לביתו רובה מאולתר טעון במחסנית תואמת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מתחם הנע בין </w:t>
      </w:r>
      <w:r>
        <w:rPr>
          <w:rFonts w:cs="Calibri" w:ascii="Calibri" w:hAnsi="Calibri"/>
        </w:rPr>
        <w:t>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ל – </w:t>
      </w:r>
      <w:r>
        <w:rPr>
          <w:rFonts w:cs="Calibri" w:ascii="Calibri" w:hAnsi="Calibri"/>
        </w:rPr>
        <w:t>18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 נידון ל</w:t>
      </w:r>
      <w:r>
        <w:rPr>
          <w:rFonts w:cs="Calibri" w:ascii="Calibri" w:hAnsi="Calibri"/>
          <w:rtl w:val="true"/>
        </w:rPr>
        <w:t xml:space="preserve">- </w:t>
      </w:r>
      <w:r>
        <w:rPr>
          <w:rFonts w:cs="Calibri" w:ascii="Calibri" w:hAnsi="Calibri"/>
        </w:rPr>
        <w:t>9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בפועל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נדחה ערעורו של הנאשם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before="0" w:after="200"/>
        <w:ind w:hanging="360" w:start="720" w:end="0"/>
        <w:contextualSpacing/>
        <w:jc w:val="both"/>
        <w:rPr>
          <w:rFonts w:ascii="Calibri" w:hAnsi="Calibri" w:cs="Calibri"/>
        </w:rPr>
      </w:pPr>
      <w:hyperlink r:id="rId18">
        <w:r>
          <w:rPr>
            <w:rStyle w:val="Hyperlink"/>
            <w:rFonts w:ascii="Calibri" w:hAnsi="Calibri" w:cs="Calibri"/>
            <w:rtl w:val="true"/>
          </w:rPr>
          <w:t>ת</w:t>
        </w:r>
        <w:r>
          <w:rPr>
            <w:rStyle w:val="Hyperlink"/>
            <w:rFonts w:cs="Calibri" w:ascii="Calibri" w:hAnsi="Calibri"/>
            <w:rtl w:val="true"/>
          </w:rPr>
          <w:t>"</w:t>
        </w:r>
        <w:r>
          <w:rPr>
            <w:rStyle w:val="Hyperlink"/>
            <w:rFonts w:ascii="Calibri" w:hAnsi="Calibri" w:cs="Calibri"/>
            <w:rtl w:val="true"/>
          </w:rPr>
          <w:t xml:space="preserve">פ </w:t>
        </w:r>
        <w:r>
          <w:rPr>
            <w:rStyle w:val="Hyperlink"/>
            <w:rFonts w:cs="Calibri" w:ascii="Calibri" w:hAnsi="Calibri"/>
            <w:rtl w:val="true"/>
          </w:rPr>
          <w:t>(</w:t>
        </w:r>
        <w:r>
          <w:rPr>
            <w:rStyle w:val="Hyperlink"/>
            <w:rFonts w:ascii="Calibri" w:hAnsi="Calibri" w:cs="Calibri"/>
            <w:rtl w:val="true"/>
          </w:rPr>
          <w:t>מחוזי חי</w:t>
        </w:r>
        <w:r>
          <w:rPr>
            <w:rStyle w:val="Hyperlink"/>
            <w:rFonts w:cs="Calibri" w:ascii="Calibri" w:hAnsi="Calibri"/>
            <w:rtl w:val="true"/>
          </w:rPr>
          <w:t xml:space="preserve">') </w:t>
        </w:r>
        <w:r>
          <w:rPr>
            <w:rStyle w:val="Hyperlink"/>
            <w:rFonts w:cs="Calibri" w:ascii="Calibri" w:hAnsi="Calibri"/>
          </w:rPr>
          <w:t>13416-09-16</w:t>
        </w:r>
        <w:r>
          <w:rPr>
            <w:rStyle w:val="Hyperlink"/>
            <w:rFonts w:cs="Calibri" w:ascii="Calibri" w:hAnsi="Calibri"/>
            <w:rtl w:val="true"/>
          </w:rPr>
          <w:t xml:space="preserve"> </w:t>
        </w:r>
      </w:hyperlink>
      <w:r>
        <w:rPr>
          <w:rFonts w:ascii="Calibri" w:hAnsi="Calibri" w:cs="Calibri"/>
          <w:b/>
          <w:b/>
          <w:bCs/>
          <w:rtl w:val="true"/>
        </w:rPr>
        <w:t>מדינת ישראל נ</w:t>
      </w:r>
      <w:r>
        <w:rPr>
          <w:rFonts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cs="Calibri"/>
          <w:b/>
          <w:b/>
          <w:bCs/>
          <w:rtl w:val="true"/>
        </w:rPr>
        <w:t>ג</w:t>
      </w:r>
      <w:r>
        <w:rPr>
          <w:rFonts w:cs="Calibri" w:ascii="Calibri" w:hAnsi="Calibri"/>
          <w:b/>
          <w:bCs/>
          <w:rtl w:val="true"/>
        </w:rPr>
        <w:t>'</w:t>
      </w:r>
      <w:r>
        <w:rPr>
          <w:rFonts w:ascii="Calibri" w:hAnsi="Calibri" w:cs="Calibri"/>
          <w:b/>
          <w:b/>
          <w:bCs/>
          <w:rtl w:val="true"/>
        </w:rPr>
        <w:t>אלולי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9.5.17</w:t>
      </w:r>
      <w:r>
        <w:rPr>
          <w:rFonts w:cs="Calibri" w:ascii="Calibri" w:hAnsi="Calibri"/>
          <w:rtl w:val="true"/>
        </w:rPr>
        <w:t xml:space="preserve">), </w:t>
      </w:r>
      <w:r>
        <w:rPr>
          <w:rFonts w:ascii="Calibri" w:hAnsi="Calibri" w:cs="Calibri"/>
          <w:rtl w:val="true"/>
        </w:rPr>
        <w:t>הנאשם הודה והורשע בעבירות בנשק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הנאשם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יחד עם אחר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נסע והוביל ברכב תת מקלע מאולתר עם מחסנית ריקה אשר היה עטוף במגבת ומונח מתחת למושבו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במהלך חיפוש נתפס הנשק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 xml:space="preserve">נקבע כי מתחם העונש ההולם נע בין </w:t>
      </w:r>
      <w:r>
        <w:rPr>
          <w:rFonts w:cs="Calibri" w:ascii="Calibri" w:hAnsi="Calibri"/>
        </w:rPr>
        <w:t>10-30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 xml:space="preserve">חודשי מאסר ונגזרו על הנאשם </w:t>
      </w:r>
      <w:r>
        <w:rPr>
          <w:rFonts w:cs="Calibri" w:ascii="Calibri" w:hAnsi="Calibri"/>
        </w:rPr>
        <w:t>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בעבודות שירות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מאסרים מותנים וצו מבחן זאת משיקולי שיקום</w:t>
      </w:r>
      <w:r>
        <w:rPr>
          <w:rFonts w:cs="Calibri" w:ascii="Calibri" w:hAnsi="Calibri"/>
          <w:rtl w:val="true"/>
        </w:rPr>
        <w:t xml:space="preserve">. </w:t>
      </w:r>
    </w:p>
    <w:p>
      <w:pPr>
        <w:pStyle w:val="Normal"/>
        <w:spacing w:before="0" w:after="200"/>
        <w:ind w:end="0"/>
        <w:contextualSpacing/>
        <w:jc w:val="both"/>
        <w:rPr>
          <w:rFonts w:ascii="Calibri" w:hAnsi="Calibri" w:cs="Calibri"/>
          <w:b/>
          <w:bCs/>
          <w:u w:val="single"/>
        </w:rPr>
      </w:pPr>
      <w:r>
        <w:rPr>
          <w:rFonts w:cs="Calibri" w:ascii="Calibri" w:hAnsi="Calibri"/>
          <w:b/>
          <w:bCs/>
          <w:u w:val="single"/>
          <w:rtl w:val="true"/>
        </w:rPr>
      </w:r>
    </w:p>
    <w:p>
      <w:pPr>
        <w:pStyle w:val="ListParagraph1"/>
        <w:numPr>
          <w:ilvl w:val="0"/>
          <w:numId w:val="4"/>
        </w:numPr>
        <w:spacing w:lineRule="auto" w:line="240"/>
        <w:ind w:hanging="360" w:start="36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  <w:t>לאחר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שבחנתי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האמור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לעיל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אני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קובעת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כי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מתחם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העונש</w:t>
      </w:r>
      <w:r>
        <w:rPr>
          <w:rFonts w:cs="Calibri"/>
          <w:b/>
          <w:b/>
          <w:bCs/>
          <w:szCs w:val="24"/>
          <w:rtl w:val="true"/>
        </w:rPr>
        <w:t xml:space="preserve"> </w:t>
      </w:r>
      <w:r>
        <w:rPr>
          <w:rFonts w:cs="David"/>
          <w:b/>
          <w:b/>
          <w:bCs/>
          <w:szCs w:val="24"/>
          <w:rtl w:val="true"/>
        </w:rPr>
        <w:t>ההולם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לאירוע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בנסיבות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התיק</w:t>
      </w:r>
      <w:r>
        <w:rPr>
          <w:rFonts w:cs="Calibri"/>
          <w:szCs w:val="24"/>
          <w:rtl w:val="true"/>
        </w:rPr>
        <w:t xml:space="preserve">  </w:t>
      </w:r>
      <w:r>
        <w:rPr>
          <w:rFonts w:cs="David"/>
          <w:szCs w:val="24"/>
          <w:rtl w:val="true"/>
        </w:rPr>
        <w:t>שבפניי</w:t>
      </w:r>
      <w:r>
        <w:rPr>
          <w:rFonts w:cs="David"/>
          <w:szCs w:val="24"/>
          <w:rtl w:val="true"/>
        </w:rPr>
        <w:t xml:space="preserve">, </w:t>
      </w:r>
      <w:r>
        <w:rPr>
          <w:rFonts w:cs="David"/>
          <w:szCs w:val="24"/>
          <w:rtl w:val="true"/>
        </w:rPr>
        <w:t>נע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ממאסר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שיכול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וירוצה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בעבודות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שירות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ועד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ל</w:t>
      </w:r>
      <w:r>
        <w:rPr>
          <w:rFonts w:cs="David"/>
          <w:szCs w:val="24"/>
          <w:rtl w:val="true"/>
        </w:rPr>
        <w:t xml:space="preserve">- </w:t>
      </w:r>
      <w:r>
        <w:rPr>
          <w:rFonts w:cs="David"/>
          <w:szCs w:val="24"/>
        </w:rPr>
        <w:t>20</w:t>
      </w:r>
      <w:r>
        <w:rPr>
          <w:rFonts w:cs="David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חודשי</w:t>
      </w:r>
      <w:r>
        <w:rPr>
          <w:rFonts w:cs="Calibri"/>
          <w:szCs w:val="24"/>
          <w:rtl w:val="true"/>
        </w:rPr>
        <w:t xml:space="preserve"> </w:t>
      </w:r>
      <w:r>
        <w:rPr>
          <w:rFonts w:cs="David"/>
          <w:szCs w:val="24"/>
          <w:rtl w:val="true"/>
        </w:rPr>
        <w:t>מאסר</w:t>
      </w:r>
      <w:r>
        <w:rPr>
          <w:rFonts w:cs="David"/>
          <w:szCs w:val="24"/>
          <w:rtl w:val="true"/>
        </w:rPr>
        <w:t>.</w:t>
      </w:r>
    </w:p>
    <w:p>
      <w:pPr>
        <w:pStyle w:val="ListParagraph1"/>
        <w:spacing w:lineRule="auto" w:line="240"/>
        <w:ind w:start="360" w:end="0"/>
        <w:jc w:val="both"/>
        <w:rPr>
          <w:rFonts w:cs="David"/>
          <w:szCs w:val="24"/>
        </w:rPr>
      </w:pPr>
      <w:r>
        <w:rPr>
          <w:rFonts w:cs="David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גזירת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עונשו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 w:before="0" w:after="200"/>
        <w:ind w:hanging="360" w:start="36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בבואי לגזור את עונשו של הנאשם לקחתי בחשבון את השיקולים הבאים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זקפתי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לזכותו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לקחת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אחריות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מעשיו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בהזדמנות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ראשונה</w:t>
      </w:r>
      <w:r>
        <w:rPr>
          <w:rtl w:val="true"/>
          <w:lang w:eastAsia="he-IL"/>
        </w:rPr>
        <w:t xml:space="preserve">. 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קודמת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תקיפה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סתם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שההרשעה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התיישנה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שמאז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ביצוע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חלפו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נפתחו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נוספים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התרשמות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הורתע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מההליך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הפלילי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יכולות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תפקוד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תקינות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במישור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התעסקותי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ביטא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רצון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לנהל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אורח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חיים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נורמטיבי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נסיבותיו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האישיות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גילו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ומצבו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הבריאותי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ענישה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אפיק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שיקומי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0"/>
          <w:numId w:val="3"/>
        </w:numPr>
        <w:snapToGrid w:val="false"/>
        <w:spacing w:lineRule="auto" w:line="360" w:before="120" w:after="0"/>
        <w:ind w:hanging="360" w:start="72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לקחתי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בחשבון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בהגינותה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אישרה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חורג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לקולה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ההגנה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תבקש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להסתפק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מותנה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תעתור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שירוצה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בעבודות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start="360"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napToGrid w:val="false"/>
        <w:spacing w:lineRule="auto" w:line="360" w:before="120" w:after="0"/>
        <w:ind w:hanging="360"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לאחר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ששקלתי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אלה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חומרת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העבירה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 </w:t>
      </w:r>
      <w:r>
        <w:rPr>
          <w:rtl w:val="true"/>
          <w:lang w:eastAsia="he-IL"/>
        </w:rPr>
        <w:t>לאמץ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המלצת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ולהימנע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מהטלת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רכיב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קיימים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המצדיקים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חריגה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כך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ממתחם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ההולם</w:t>
      </w:r>
      <w:r>
        <w:rPr>
          <w:rtl w:val="true"/>
          <w:lang w:eastAsia="he-IL"/>
        </w:rPr>
        <w:t xml:space="preserve">.  </w:t>
      </w:r>
      <w:r>
        <w:rPr>
          <w:rtl w:val="true"/>
          <w:lang w:eastAsia="he-IL"/>
        </w:rPr>
        <w:t>שירות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המבחן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המליץ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העמדתו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במבחן</w:t>
      </w:r>
      <w:r>
        <w:rPr>
          <w:rtl w:val="true"/>
          <w:lang w:eastAsia="he-IL"/>
        </w:rPr>
        <w:t xml:space="preserve">. </w:t>
      </w:r>
    </w:p>
    <w:p>
      <w:pPr>
        <w:pStyle w:val="Normal"/>
        <w:snapToGrid w:val="false"/>
        <w:spacing w:before="12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עם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זאת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השיקולים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שפורטו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ובשים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להסדר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שהוצג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הצדדים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אשר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ממנו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ניתן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ללמוד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גם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לשיטת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המאשימה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הנסיבות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בתיק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זה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שונות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וקלות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יותר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מהמקרים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הרגילים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החזקת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נשק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ותחמושת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להקל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באופן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משמעותי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בעונשו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numPr>
          <w:ilvl w:val="0"/>
          <w:numId w:val="4"/>
        </w:numPr>
        <w:snapToGrid w:val="false"/>
        <w:spacing w:lineRule="auto" w:line="360" w:before="120" w:after="0"/>
        <w:ind w:hanging="360" w:start="360" w:end="0"/>
        <w:contextualSpacing/>
        <w:jc w:val="both"/>
        <w:rPr>
          <w:lang w:eastAsia="he-IL"/>
        </w:rPr>
      </w:pPr>
      <w:r>
        <w:rPr>
          <w:rtl w:val="true"/>
          <w:lang w:eastAsia="he-IL"/>
        </w:rPr>
        <w:t>לאור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האמור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לעיל</w:t>
      </w:r>
      <w:r>
        <w:rPr>
          <w:rtl w:val="true"/>
          <w:lang w:eastAsia="he-IL"/>
        </w:rPr>
        <w:t xml:space="preserve">,  </w:t>
      </w:r>
      <w:r>
        <w:rPr>
          <w:rtl w:val="true"/>
          <w:lang w:eastAsia="he-IL"/>
        </w:rPr>
        <w:t>מצאתי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לנכון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ולמידתי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לגזור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העונשים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הבאים</w:t>
      </w:r>
      <w:r>
        <w:rPr>
          <w:rtl w:val="true"/>
          <w:lang w:eastAsia="he-IL"/>
        </w:rPr>
        <w:t xml:space="preserve">: </w:t>
      </w:r>
    </w:p>
    <w:p>
      <w:pPr>
        <w:pStyle w:val="Normal"/>
        <w:ind w:end="0"/>
        <w:jc w:val="both"/>
        <w:rPr>
          <w:rFonts w:ascii="David" w:hAnsi="David" w:eastAsia="David" w:cs="David"/>
          <w:sz w:val="22"/>
          <w:lang w:eastAsia="he-IL"/>
        </w:rPr>
      </w:pPr>
      <w:r>
        <w:rPr>
          <w:rFonts w:eastAsia="David" w:cs="David" w:ascii="David" w:hAnsi="David"/>
          <w:sz w:val="22"/>
          <w:rtl w:val="true"/>
          <w:lang w:eastAsia="he-IL"/>
        </w:rPr>
      </w:r>
    </w:p>
    <w:p>
      <w:pPr>
        <w:pStyle w:val="Normal"/>
        <w:ind w:hanging="360" w:start="566" w:end="0"/>
        <w:jc w:val="both"/>
        <w:rPr>
          <w:sz w:val="22"/>
        </w:rPr>
      </w:pPr>
      <w:r>
        <w:rPr>
          <w:sz w:val="22"/>
          <w:sz w:val="22"/>
          <w:rtl w:val="true"/>
        </w:rPr>
        <w:t>א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הנני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מטילה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 </w:t>
      </w:r>
      <w:r>
        <w:rPr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לתקופה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חודשים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שירוצה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בדרך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שירות</w:t>
      </w:r>
      <w:r>
        <w:rPr>
          <w:sz w:val="22"/>
          <w:rtl w:val="true"/>
        </w:rPr>
        <w:t xml:space="preserve">,  </w:t>
      </w:r>
      <w:r>
        <w:rPr>
          <w:sz w:val="22"/>
          <w:sz w:val="22"/>
          <w:rtl w:val="true"/>
        </w:rPr>
        <w:t>במשקם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אשקלון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בכתובת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האופה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14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אשקלון</w:t>
      </w:r>
      <w:r>
        <w:rPr>
          <w:sz w:val="22"/>
          <w:rtl w:val="true"/>
        </w:rPr>
        <w:t>.</w:t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יועסק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>.</w:t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3.9.17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08:30</w:t>
      </w:r>
      <w:r>
        <w:rPr>
          <w:rtl w:val="true"/>
        </w:rPr>
        <w:t xml:space="preserve"> </w:t>
      </w:r>
      <w:r>
        <w:rPr>
          <w:rtl w:val="true"/>
        </w:rPr>
        <w:t>במשרדי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ההנחיות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שתינתנה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תגרום</w:t>
      </w:r>
      <w:r>
        <w:rPr>
          <w:rFonts w:cs="Times New Roman"/>
          <w:rtl w:val="true"/>
        </w:rPr>
        <w:t xml:space="preserve"> </w:t>
      </w:r>
    </w:p>
    <w:p>
      <w:pPr>
        <w:pStyle w:val="1"/>
        <w:tabs>
          <w:tab w:val="clear" w:pos="720"/>
          <w:tab w:val="left" w:pos="282" w:leader="none"/>
        </w:tabs>
        <w:spacing w:lineRule="exact" w:line="300"/>
        <w:ind w:hanging="143" w:end="0"/>
        <w:jc w:val="both"/>
        <w:rPr/>
      </w:pPr>
      <w:r>
        <w:rPr>
          <w:rtl w:val="true"/>
        </w:rPr>
        <w:tab/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1"/>
        <w:tabs>
          <w:tab w:val="clear" w:pos="720"/>
          <w:tab w:val="left" w:pos="282" w:leader="none"/>
        </w:tabs>
        <w:ind w:hanging="143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napToGrid w:val="false"/>
        <w:spacing w:before="120" w:after="0"/>
        <w:ind w:end="0"/>
        <w:jc w:val="both"/>
        <w:rPr>
          <w:b/>
          <w:bCs/>
          <w:lang w:eastAsia="he-IL"/>
        </w:rPr>
      </w:pP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תנאי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בן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יעבור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עבירות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בהן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הורשע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למשך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מהיום</w:t>
      </w:r>
      <w:r>
        <w:rPr>
          <w:rtl w:val="true"/>
          <w:lang w:eastAsia="he-IL"/>
        </w:rPr>
        <w:t>.</w:t>
      </w:r>
    </w:p>
    <w:p>
      <w:pPr>
        <w:pStyle w:val="Normal"/>
        <w:ind w:end="0"/>
        <w:jc w:val="both"/>
        <w:rPr>
          <w:rFonts w:ascii="David" w:hAnsi="David" w:eastAsia="David" w:cs="David"/>
          <w:b/>
          <w:bCs/>
          <w:szCs w:val="26"/>
          <w:lang w:eastAsia="he-IL"/>
        </w:rPr>
      </w:pPr>
      <w:r>
        <w:rPr>
          <w:rFonts w:eastAsia="David" w:cs="David" w:ascii="David" w:hAnsi="David"/>
          <w:b/>
          <w:bCs/>
          <w:szCs w:val="26"/>
          <w:rtl w:val="true"/>
          <w:lang w:eastAsia="he-IL"/>
        </w:rPr>
      </w:r>
    </w:p>
    <w:p>
      <w:pPr>
        <w:pStyle w:val="Normal"/>
        <w:ind w:hanging="720"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ג</w:t>
      </w:r>
      <w:r>
        <w:rPr>
          <w:sz w:val="22"/>
          <w:rtl w:val="true"/>
        </w:rPr>
        <w:t>.</w:t>
        <w:tab/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כספית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בסך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3,000</w:t>
      </w:r>
      <w:r>
        <w:rPr>
          <w:sz w:val="22"/>
          <w:rtl w:val="true"/>
        </w:rPr>
        <w:t xml:space="preserve"> </w:t>
      </w:r>
      <w:r>
        <w:rPr>
          <w:rFonts w:eastAsia="David" w:ascii="David" w:hAnsi="David"/>
          <w:sz w:val="22"/>
          <w:rtl w:val="true"/>
        </w:rPr>
        <w:t>₪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להימנע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מביצוע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בהן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והכל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תוך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שנתיים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מהיום</w:t>
      </w:r>
      <w:r>
        <w:rPr>
          <w:sz w:val="22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2"/>
        </w:rPr>
      </w:pPr>
      <w:r>
        <w:rPr>
          <w:sz w:val="22"/>
          <w:sz w:val="22"/>
          <w:rtl w:val="true"/>
        </w:rPr>
        <w:t>ההתחייבות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תחתם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במזכירות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משפט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עוד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היום</w:t>
      </w:r>
      <w:r>
        <w:rPr>
          <w:sz w:val="22"/>
          <w:rtl w:val="true"/>
        </w:rPr>
        <w:t xml:space="preserve">. </w:t>
      </w:r>
      <w:r>
        <w:rPr>
          <w:sz w:val="22"/>
          <w:sz w:val="22"/>
          <w:rtl w:val="true"/>
        </w:rPr>
        <w:t>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יחתום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כאמור</w:t>
      </w:r>
      <w:r>
        <w:rPr>
          <w:sz w:val="22"/>
          <w:rtl w:val="true"/>
        </w:rPr>
        <w:t xml:space="preserve">, </w:t>
      </w:r>
      <w:r>
        <w:rPr>
          <w:sz w:val="22"/>
          <w:sz w:val="22"/>
          <w:rtl w:val="true"/>
        </w:rPr>
        <w:t>יאסר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למשך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</w:rPr>
        <w:t>15</w:t>
      </w:r>
      <w:r>
        <w:rPr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יום</w:t>
      </w:r>
      <w:r>
        <w:rPr>
          <w:sz w:val="22"/>
          <w:rtl w:val="true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sz w:val="22"/>
          <w:lang w:eastAsia="he-IL"/>
        </w:rPr>
      </w:pPr>
      <w:r>
        <w:rPr>
          <w:sz w:val="22"/>
          <w:rtl w:val="true"/>
          <w:lang w:eastAsia="he-IL"/>
        </w:rPr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rtl w:val="true"/>
          <w:lang w:eastAsia="he-IL"/>
        </w:rPr>
        <w:t>ד</w:t>
      </w:r>
      <w:r>
        <w:rPr>
          <w:rtl w:val="true"/>
          <w:lang w:eastAsia="he-IL"/>
        </w:rPr>
        <w:t>.</w:t>
        <w:tab/>
      </w:r>
      <w:r>
        <w:rPr>
          <w:rtl w:val="true"/>
          <w:lang w:eastAsia="he-IL"/>
        </w:rPr>
        <w:t>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בסך</w:t>
      </w:r>
      <w:r>
        <w:rPr>
          <w:rFonts w:cs="Times New Roman"/>
          <w:rtl w:val="true"/>
          <w:lang w:eastAsia="he-IL"/>
        </w:rPr>
        <w:t xml:space="preserve">  </w:t>
      </w:r>
      <w:r>
        <w:rPr>
          <w:lang w:eastAsia="he-IL"/>
        </w:rPr>
        <w:t>1000</w:t>
      </w:r>
      <w:r>
        <w:rPr>
          <w:rtl w:val="true"/>
          <w:lang w:eastAsia="he-IL"/>
        </w:rPr>
        <w:t xml:space="preserve"> </w:t>
      </w:r>
      <w:r>
        <w:rPr>
          <w:rFonts w:eastAsia="David" w:ascii="David" w:hAnsi="David"/>
          <w:rtl w:val="true"/>
          <w:lang w:eastAsia="he-IL"/>
        </w:rPr>
        <w:t>₪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מאסר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תמורתו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firstLine="720" w:end="0"/>
        <w:jc w:val="both"/>
        <w:rPr>
          <w:lang w:eastAsia="he-IL"/>
        </w:rPr>
      </w:pPr>
      <w:r>
        <w:rPr>
          <w:rtl w:val="true"/>
          <w:lang w:eastAsia="he-IL"/>
        </w:rPr>
        <w:t>הקנס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החל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1.9.17</w:t>
      </w:r>
      <w:r>
        <w:rPr>
          <w:rtl w:val="true"/>
          <w:lang w:eastAsia="he-IL"/>
        </w:rPr>
        <w:t>.</w:t>
      </w:r>
    </w:p>
    <w:p>
      <w:pPr>
        <w:pStyle w:val="Normal"/>
        <w:snapToGrid w:val="false"/>
        <w:spacing w:before="120" w:after="0"/>
        <w:ind w:end="0"/>
        <w:jc w:val="both"/>
        <w:rPr>
          <w:lang w:eastAsia="he-IL"/>
        </w:rPr>
      </w:pPr>
      <w:r>
        <w:rPr>
          <w:rtl w:val="true"/>
          <w:lang w:eastAsia="he-IL"/>
        </w:rPr>
      </w:r>
    </w:p>
    <w:p>
      <w:pPr>
        <w:pStyle w:val="Normal"/>
        <w:snapToGrid w:val="false"/>
        <w:spacing w:before="120" w:after="0"/>
        <w:ind w:end="0"/>
        <w:jc w:val="both"/>
        <w:rPr>
          <w:rFonts w:eastAsia="David"/>
          <w:szCs w:val="26"/>
        </w:rPr>
      </w:pP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>
          <w:rFonts w:ascii="David" w:hAnsi="David" w:eastAsia="David" w:cs="David"/>
          <w:szCs w:val="26"/>
        </w:rPr>
      </w:pPr>
      <w:r>
        <w:rPr>
          <w:rFonts w:eastAsia="David" w:cs="David" w:ascii="David" w:hAnsi="David"/>
          <w:szCs w:val="26"/>
          <w:rtl w:val="true"/>
        </w:rPr>
      </w:r>
    </w:p>
    <w:p>
      <w:pPr>
        <w:pStyle w:val="Normal"/>
        <w:ind w:end="0"/>
        <w:jc w:val="both"/>
        <w:rPr>
          <w:szCs w:val="2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נועה חקלאי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31982-02-13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אולג שטיינברג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0"/>
        </w:tabs>
        <w:ind w:start="360" w:hanging="360"/>
      </w:pPr>
      <w:rPr>
        <w:rFonts w:cs="Times New Roman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Times New Roman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Times New Roman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Times New Roman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rFonts w:ascii="Times New Roman" w:hAnsi="Times New Roman" w:cs="Times New Roman"/>
      <w:color w:val="0000FF"/>
      <w:u w:val="single"/>
    </w:rPr>
  </w:style>
  <w:style w:type="character" w:styleId="ListParagraphChar">
    <w:name w:val="List Paragraph Char"/>
    <w:qFormat/>
    <w:rPr>
      <w:rFonts w:cs="Arial"/>
    </w:rPr>
  </w:style>
  <w:style w:type="character" w:styleId="Style14">
    <w:name w:val="אזכור לא מזוהה"/>
    <w:qFormat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1">
    <w:name w:val="List Paragraph1"/>
    <w:basedOn w:val="Normal"/>
    <w:qFormat/>
    <w:pPr>
      <w:spacing w:lineRule="auto" w:line="276" w:before="0" w:after="20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1">
    <w:name w:val="היסט_1"/>
    <w:basedOn w:val="Normal"/>
    <w:qFormat/>
    <w:pPr>
      <w:widowControl w:val="false"/>
      <w:ind w:hanging="567" w:start="567" w:end="0"/>
      <w:jc w:val="both"/>
    </w:pPr>
    <w:rPr>
      <w:sz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7791493" TargetMode="External"/><Relationship Id="rId7" Type="http://schemas.openxmlformats.org/officeDocument/2006/relationships/hyperlink" Target="http://www.nevo.co.il/case/20723375" TargetMode="External"/><Relationship Id="rId8" Type="http://schemas.openxmlformats.org/officeDocument/2006/relationships/hyperlink" Target="http://www.nevo.co.il/case/18086234" TargetMode="External"/><Relationship Id="rId9" Type="http://schemas.openxmlformats.org/officeDocument/2006/relationships/hyperlink" Target="http://www.nevo.co.il/case/20531134" TargetMode="External"/><Relationship Id="rId10" Type="http://schemas.openxmlformats.org/officeDocument/2006/relationships/hyperlink" Target="https://www.nevo.co.il/psika_html/elyon/14023980-e03.htm" TargetMode="External"/><Relationship Id="rId11" Type="http://schemas.openxmlformats.org/officeDocument/2006/relationships/hyperlink" Target="http://www.nevo.co.il/case/16913730" TargetMode="External"/><Relationship Id="rId12" Type="http://schemas.openxmlformats.org/officeDocument/2006/relationships/hyperlink" Target="http://www.nevo.co.il/case/16992066" TargetMode="External"/><Relationship Id="rId13" Type="http://schemas.openxmlformats.org/officeDocument/2006/relationships/hyperlink" Target="http://www.nevo.co.il/case/5601503" TargetMode="External"/><Relationship Id="rId14" Type="http://schemas.openxmlformats.org/officeDocument/2006/relationships/hyperlink" Target="http://www.nevo.co.il/case/6024035" TargetMode="External"/><Relationship Id="rId15" Type="http://schemas.openxmlformats.org/officeDocument/2006/relationships/hyperlink" Target="http://www.nevo.co.il/case/3507722" TargetMode="External"/><Relationship Id="rId16" Type="http://schemas.openxmlformats.org/officeDocument/2006/relationships/hyperlink" Target="http://www.nevo.co.il/case/3835321" TargetMode="External"/><Relationship Id="rId17" Type="http://schemas.openxmlformats.org/officeDocument/2006/relationships/hyperlink" Target="http://www.nevo.co.il/case/13019896" TargetMode="External"/><Relationship Id="rId18" Type="http://schemas.openxmlformats.org/officeDocument/2006/relationships/hyperlink" Target="https://www.nevo.co.il/psika_html/mechozi/ME-16-09-13416-978.htm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<Relationship Id="rId2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2018-12-16T13:03:00Z</dcterms:created>
  <dc:creator> </dc:creator>
  <dc:description/>
  <cp:keywords/>
  <dc:language>en-IL</dc:language>
  <cp:lastModifiedBy>h8</cp:lastModifiedBy>
  <dcterms:modified xsi:type="dcterms:W3CDTF">2018-12-16T13:03:00Z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אולג שטיינברג</vt:lpwstr>
  </property>
  <property fmtid="{D5CDD505-2E9C-101B-9397-08002B2CF9AE}" pid="4" name="CASENOTES1">
    <vt:lpwstr>ProcID=133;209&amp;PartA=18780&amp;PartB=06&amp;PartC=14</vt:lpwstr>
  </property>
  <property fmtid="{D5CDD505-2E9C-101B-9397-08002B2CF9AE}" pid="5" name="CASESLISTTMP1">
    <vt:lpwstr>7791493;20723375;18086234;20531134;16913730;5601503;6024035;3507722;3835321;13019896</vt:lpwstr>
  </property>
  <property fmtid="{D5CDD505-2E9C-101B-9397-08002B2CF9AE}" pid="6" name="CITY">
    <vt:lpwstr>ק"ג</vt:lpwstr>
  </property>
  <property fmtid="{D5CDD505-2E9C-101B-9397-08002B2CF9AE}" pid="7" name="DATE">
    <vt:lpwstr>20170713</vt:lpwstr>
  </property>
  <property fmtid="{D5CDD505-2E9C-101B-9397-08002B2CF9AE}" pid="8" name="ISABSTRACT">
    <vt:lpwstr>Y</vt:lpwstr>
  </property>
  <property fmtid="{D5CDD505-2E9C-101B-9397-08002B2CF9AE}" pid="9" name="JUDGE">
    <vt:lpwstr>נועה חקלאי</vt:lpwstr>
  </property>
  <property fmtid="{D5CDD505-2E9C-101B-9397-08002B2CF9AE}" pid="10" name="LAWLISTTMP1">
    <vt:lpwstr>70301/144</vt:lpwstr>
  </property>
  <property fmtid="{D5CDD505-2E9C-101B-9397-08002B2CF9AE}" pid="11" name="NEWPARTA">
    <vt:lpwstr>31982</vt:lpwstr>
  </property>
  <property fmtid="{D5CDD505-2E9C-101B-9397-08002B2CF9AE}" pid="12" name="NEWPARTB">
    <vt:lpwstr>02</vt:lpwstr>
  </property>
  <property fmtid="{D5CDD505-2E9C-101B-9397-08002B2CF9AE}" pid="13" name="NEWPARTC">
    <vt:lpwstr>13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3</vt:lpwstr>
  </property>
  <property fmtid="{D5CDD505-2E9C-101B-9397-08002B2CF9AE}" pid="17" name="TYPE_ABS_DATE">
    <vt:lpwstr>380020170713</vt:lpwstr>
  </property>
  <property fmtid="{D5CDD505-2E9C-101B-9397-08002B2CF9AE}" pid="18" name="TYPE_N_DATE">
    <vt:lpwstr>38020170713</vt:lpwstr>
  </property>
  <property fmtid="{D5CDD505-2E9C-101B-9397-08002B2CF9AE}" pid="19" name="WORDNUMPAGES">
    <vt:lpwstr>6</vt:lpwstr>
  </property>
</Properties>
</file>