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89"/>
        <w:gridCol w:w="3689"/>
        <w:gridCol w:w="41"/>
      </w:tblGrid>
      <w:tr>
        <w:trPr>
          <w:trHeight w:val="418" w:hRule="exact"/>
        </w:trPr>
        <w:tc>
          <w:tcPr>
            <w:tcW w:w="8861" w:type="dxa"/>
            <w:gridSpan w:val="5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131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32277-05-23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חמדי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730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לפני </w:t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גיל קרזבום</w:t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2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2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טארק אבו חמדי </w:t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275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6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1971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u w:val="none"/>
          </w:rPr>
          <w:t>3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כללי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bookmarkStart w:id="7" w:name="ABSTRACT_START"/>
      <w:bookmarkEnd w:id="7"/>
      <w:r>
        <w:rPr>
          <w:rFonts w:ascii="David" w:hAnsi="David"/>
          <w:rtl w:val="true"/>
        </w:rPr>
        <w:t>הנאשם הודה במסגרת הסדר טיעון בעבירות של נשיאה והובלת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ועבירה של הפרעה לשוטר בשעת 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1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275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6"/>
          <w:szCs w:val="16"/>
        </w:rPr>
      </w:pPr>
      <w:r>
        <w:rPr>
          <w:rFonts w:eastAsia="Calibri" w:cs="David" w:ascii="David" w:hAnsi="David"/>
          <w:sz w:val="16"/>
          <w:szCs w:val="1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הצדדים הגיעו להסדר טיעון לפיו יוטלו על הנאשם העונשים הבאים</w:t>
      </w:r>
      <w:r>
        <w:rPr>
          <w:rFonts w:cs="David" w:ascii="David" w:hAnsi="David"/>
          <w:rtl w:val="true"/>
        </w:rPr>
        <w:t xml:space="preserve">:  </w:t>
      </w:r>
      <w:r>
        <w:rPr>
          <w:rFonts w:ascii="David" w:hAnsi="David"/>
          <w:rtl w:val="true"/>
        </w:rPr>
        <w:t xml:space="preserve">מאסר בפועל לתקופה של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בניכוי ימי מעצרו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וקנס שלהטלתו ההגנה תתנגד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  <w:bookmarkStart w:id="8" w:name="ABSTRACT_END"/>
      <w:bookmarkStart w:id="9" w:name="ABSTRACT_END"/>
      <w:bookmarkEnd w:id="9"/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הצדדים חלוקים בשאלה האם המאסר המותנה  שהוטל על הנאשם במסגרת תיק פלילי נוסף </w:t>
      </w:r>
      <w:r>
        <w:rPr>
          <w:rFonts w:cs="David" w:ascii="David" w:hAnsi="David"/>
          <w:rtl w:val="true"/>
        </w:rPr>
        <w:t>(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14128-07-20</w:t>
        </w:r>
      </w:hyperlink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הינו בר הפעלה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חלוקים על אופן הפעלתו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בחופף או במצטבר למאסר שהוסכם עליו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cs="David"/>
          <w:b/>
          <w:bCs/>
          <w:sz w:val="10"/>
          <w:szCs w:val="10"/>
          <w:u w:val="single"/>
        </w:rPr>
      </w:pPr>
      <w:r>
        <w:rPr>
          <w:rFonts w:cs="David" w:ascii="David" w:hAnsi="David"/>
          <w:b/>
          <w:bCs/>
          <w:sz w:val="10"/>
          <w:szCs w:val="10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עובדות כתב האישום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2"/>
          <w:szCs w:val="2"/>
          <w:u w:val="single"/>
        </w:rPr>
      </w:pPr>
      <w:r>
        <w:rPr>
          <w:rFonts w:eastAsia="David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</w:tabs>
        <w:spacing w:lineRule="auto" w:line="360" w:before="240" w:after="0"/>
        <w:ind w:hanging="360"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23/4/22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17:30</w:t>
      </w:r>
      <w:r>
        <w:rPr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פיוטרקובסקי</w:t>
      </w:r>
      <w:r>
        <w:rPr>
          <w:rtl w:val="true"/>
        </w:rPr>
        <w:t xml:space="preserve">,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חמדאן</w:t>
      </w:r>
      <w:r>
        <w:rPr>
          <w:rtl w:val="true"/>
        </w:rPr>
        <w:t xml:space="preserve">, </w:t>
      </w:r>
      <w:r>
        <w:rPr>
          <w:rtl w:val="true"/>
        </w:rPr>
        <w:t>ודניאל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פרבמן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ירכא</w:t>
      </w:r>
      <w:r>
        <w:rPr>
          <w:rtl w:val="true"/>
        </w:rPr>
        <w:t>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</w:tabs>
        <w:spacing w:lineRule="auto" w:line="360" w:before="240" w:after="0"/>
        <w:ind w:start="720" w:end="0"/>
        <w:jc w:val="both"/>
        <w:rPr/>
      </w:pP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מיצובישי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18-280-32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ירכא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/>
        <w:t xml:space="preserve">Sig </w:t>
      </w:r>
      <w:r>
        <w:rPr>
          <w:rFonts w:cs="David" w:ascii="David" w:hAnsi="David"/>
        </w:rPr>
        <w:t>Sauer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מודל </w:t>
      </w:r>
      <w:r>
        <w:rPr>
          <w:rFonts w:cs="David" w:ascii="David" w:hAnsi="David"/>
        </w:rPr>
        <w:t>P320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תוצרת ארצות הברית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פאראבלום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מספר סידורי </w:t>
      </w:r>
      <w:r>
        <w:rPr>
          <w:rFonts w:cs="David" w:ascii="David" w:hAnsi="David"/>
        </w:rPr>
        <w:t>58j145343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פאראבלום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האקדח</w:t>
      </w:r>
      <w:r>
        <w:rPr>
          <w:rtl w:val="true"/>
        </w:rPr>
        <w:t>" "</w:t>
      </w:r>
      <w:r>
        <w:rPr>
          <w:rtl w:val="true"/>
        </w:rPr>
        <w:t>המחסנית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הכדורים</w:t>
      </w:r>
      <w:r>
        <w:rPr>
          <w:rtl w:val="true"/>
        </w:rPr>
        <w:t xml:space="preserve">").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</w:tabs>
        <w:spacing w:lineRule="auto" w:line="360" w:before="240" w:after="0"/>
        <w:ind w:start="720" w:end="0"/>
        <w:jc w:val="both"/>
        <w:rPr/>
      </w:pP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לכיוונם</w:t>
      </w:r>
      <w:r>
        <w:rPr>
          <w:rtl w:val="true"/>
        </w:rPr>
        <w:t xml:space="preserve">, </w:t>
      </w:r>
      <w:r>
        <w:rPr>
          <w:rtl w:val="true"/>
        </w:rPr>
        <w:t>הדליקו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הניידת</w:t>
      </w:r>
      <w:r>
        <w:rPr>
          <w:rtl w:val="true"/>
        </w:rPr>
        <w:t xml:space="preserve">,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שמאלה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בתנועה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והשוטרים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ראיות המאשימה לעונש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הוגש גיליון הרשעות פלילי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2110" w:leader="none"/>
        </w:tabs>
        <w:spacing w:lineRule="auto" w:line="360" w:before="0" w:after="0"/>
        <w:ind w:start="360" w:end="0"/>
        <w:contextualSpacing/>
        <w:jc w:val="both"/>
        <w:rPr>
          <w:rFonts w:ascii="David" w:hAnsi="David" w:cs="David"/>
          <w:b/>
          <w:bCs/>
          <w:sz w:val="12"/>
          <w:szCs w:val="12"/>
          <w:u w:val="single"/>
        </w:rPr>
      </w:pPr>
      <w:r>
        <w:rPr>
          <w:rFonts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עיקר טיעוני המאשימה לעונש</w:t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16"/>
          <w:szCs w:val="16"/>
          <w:u w:val="single"/>
        </w:rPr>
      </w:pPr>
      <w:r>
        <w:rPr>
          <w:rFonts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בטיעוניה ביקשה לאמץ את הסדר הטעון תוך שהיא מציינת כי היא מודעת לכך שהעונש המוסכם נמנה על הצד הנמוך שבענישה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לשיטתה מדובר בענישה ראויה וזאת בשים לב לקשיים הראייתיים בתיק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הקשור להפעלת המאסר המותנה אשר תלוי ועומד כנגד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ציינה כי מדובר במאסר מותנה 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והתנאי הוא שהנאשם לא יעבור עבירת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אלימות מסוג פשע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ויורשע בגינה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הפנתה לפסיקה רלוונטית וטענה כי המבחן הקובע הוא מבחן מהותי המתייחס לנסיבות ביצוע העבירה המתוארות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מדובר במבחן טכני הקשור באופן ניסוח התנאי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התנהגות הנאשם המתוארת בכתב האישום ונסיבות ביצוע העבירות עת הנאשם נשא והוביל נשק טעון עם מחסנית ובה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מהווה התנהגות עם יסוד של אלימות נוכח הסיכון הממשי לחיי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לשלום הציבור ובטחונו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בסופו של יום לא נגרם כל נזק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לאור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ביקשה לקבוע כי העבירות הנשק בהן הורשע הנאשם מפעילות את המאסר המותנה שעניינו  עבירות אלימות מסוג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ועתרה להפעלתו באופן מצטבר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ראיות הנאשם לעונש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>הוגשו מסמכים רפואיים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עיקר טיעוני הנאשם לעונש</w:t>
      </w:r>
    </w:p>
    <w:p>
      <w:pPr>
        <w:pStyle w:val="Normal"/>
        <w:ind w:start="360" w:end="0"/>
        <w:jc w:val="both"/>
        <w:rPr>
          <w:rFonts w:ascii="David" w:hAnsi="David" w:eastAsia="David" w:cs="David"/>
          <w:b/>
          <w:bCs/>
          <w:sz w:val="16"/>
          <w:szCs w:val="16"/>
          <w:u w:val="single"/>
        </w:rPr>
      </w:pPr>
      <w:r>
        <w:rPr>
          <w:rFonts w:eastAsia="David"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b/>
          <w:bCs/>
          <w:sz w:val="2"/>
          <w:szCs w:val="2"/>
          <w:u w:val="single"/>
        </w:rPr>
      </w:pPr>
      <w:r>
        <w:rPr>
          <w:rFonts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ביקש לאמץ את ההסדר מהטעמים שפורטו על ידי המאשימה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הקשור להפעלת המאסר המותנה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הסכים כי בעבירות נשק קיים פוטנציאל לגרימת נזק לאדם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טען כי הגדרת עבירת אלימות רק משום התקיימות פוטנציאל לנזק עתידי תוביל למסקנה אבסורדית לפיה מרבית העבירות בדין הפלילי יובילו להפעלת מאסר מותנה שעניינו עבירת אלימות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בהקשר זה ביקש להבחין בין תנאי שנוסחו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עבירת אלימות מסוג פשע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כפי המקרה הנדון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שאז התנאי אינו בר הפעלה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לבין  תנאי שנוסחו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עבירה שיש בה יסוד של אלימות</w:t>
      </w:r>
      <w:r>
        <w:rPr>
          <w:rFonts w:cs="David" w:ascii="David" w:hAnsi="David"/>
          <w:rtl w:val="true"/>
        </w:rPr>
        <w:t xml:space="preserve">",  </w:t>
      </w:r>
      <w:r>
        <w:rPr>
          <w:rFonts w:ascii="David" w:hAnsi="David"/>
          <w:rtl w:val="true"/>
        </w:rPr>
        <w:t>שאז ניתן לטעון לתחולתו גם 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לקבוע כי המאסר המותנה אינו בר הפעלה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הפנה לפסיקה רלוונטית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לחילופין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וככל שייקבע כי מדובר בתנאי בר הפעלה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 להפעלתו </w:t>
      </w:r>
      <w:r>
        <w:rPr>
          <w:rFonts w:ascii="David" w:hAnsi="David" w:eastAsia="Calibri"/>
          <w:rtl w:val="true"/>
        </w:rPr>
        <w:t>באופן חופף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sz w:val="10"/>
          <w:szCs w:val="10"/>
        </w:rPr>
      </w:pPr>
      <w:r>
        <w:rPr>
          <w:rFonts w:eastAsia="Calibri" w:cs="David" w:ascii="David" w:hAnsi="David"/>
          <w:sz w:val="10"/>
          <w:szCs w:val="10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עצמו קיבל אחריות על מעשיו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טען כי הפנים את חומרת המעשים  וביקש סליחה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הפנה לנסיבותיו האישות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 להיותו רווק  המתגורר עם  הוריו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ועבד לפרנסתו עובר למעצרו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הפנה למצבו הנפשי שמנע את גיוסו לצבא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והביע נכונות ומוטיבציה להשתלב בקבוצה טיפולית בכלא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sz w:val="2"/>
          <w:szCs w:val="2"/>
          <w:u w:val="single"/>
        </w:rPr>
      </w:pPr>
      <w:r>
        <w:rPr>
          <w:rFonts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tLeast" w:line="300"/>
        <w:ind w:firstLine="360" w:end="0"/>
        <w:jc w:val="both"/>
        <w:rPr>
          <w:rFonts w:cs="Times New Roman"/>
          <w:color w:val="000000"/>
          <w:sz w:val="17"/>
          <w:szCs w:val="17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העונש המוסכם </w:t>
      </w:r>
    </w:p>
    <w:p>
      <w:pPr>
        <w:pStyle w:val="Normal"/>
        <w:numPr>
          <w:ilvl w:val="0"/>
          <w:numId w:val="2"/>
        </w:numPr>
        <w:spacing w:lineRule="atLeast" w:line="360" w:before="280" w:after="280"/>
        <w:ind w:hanging="360" w:start="720" w:end="0"/>
        <w:jc w:val="both"/>
        <w:rPr>
          <w:rFonts w:cs="Times New Roman"/>
          <w:color w:val="000000"/>
          <w:sz w:val="27"/>
          <w:szCs w:val="27"/>
        </w:rPr>
      </w:pPr>
      <w:r>
        <w:rPr>
          <w:rFonts w:ascii="David" w:hAnsi="David"/>
          <w:color w:val="000000"/>
          <w:rtl w:val="true"/>
        </w:rPr>
        <w:t>מדובר בהסדר טעון לעניין העונש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ובהתאם בית המשפט אינו נדרש לקבוע מתחם עונש הולם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 ששקלתי את חומרת העבירות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נסיבות ביצוען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מידת הפגיעה  בערכים המוגנים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הפסיקה הנהוגה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עונש המינימום הקבוע בגין עבירת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ואת טענות הצדדים לרבות הטענה בדבר קשיים ראייתיים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אני סבור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ההסדר אליו הגיעו הצדדים הינו ראוי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ובדעתי לאמצו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tLeast" w:line="360" w:before="280" w:after="160"/>
        <w:ind w:firstLine="360"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המאסר המותנה</w:t>
      </w:r>
    </w:p>
    <w:p>
      <w:pPr>
        <w:pStyle w:val="Normal"/>
        <w:ind w:end="0"/>
        <w:jc w:val="start"/>
        <w:rPr>
          <w:rFonts w:ascii="David" w:hAnsi="David" w:cs="David"/>
          <w:b/>
          <w:bCs/>
          <w:color w:val="000000"/>
          <w:sz w:val="16"/>
          <w:szCs w:val="16"/>
          <w:u w:val="single"/>
        </w:rPr>
      </w:pPr>
      <w:r>
        <w:rPr>
          <w:rFonts w:cs="David" w:ascii="David" w:hAnsi="David"/>
          <w:b/>
          <w:bCs/>
          <w:color w:val="000000"/>
          <w:sz w:val="16"/>
          <w:szCs w:val="16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18.11.2020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נגזר דינו של הנאשם ב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14128-07-20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בית משפט השלום בעכו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בין היתר ל</w:t>
      </w:r>
      <w:r>
        <w:rPr>
          <w:rFonts w:cs="David" w:ascii="David" w:hAnsi="David"/>
          <w:i/>
          <w:iCs/>
          <w:rtl w:val="true"/>
        </w:rPr>
        <w:t>"</w:t>
      </w:r>
      <w:r>
        <w:rPr>
          <w:rFonts w:ascii="David" w:hAnsi="David"/>
          <w:i/>
          <w:i/>
          <w:iCs/>
          <w:rtl w:val="true"/>
        </w:rPr>
        <w:t xml:space="preserve">מאסר על תנאי לתקופה של </w:t>
      </w:r>
      <w:r>
        <w:rPr>
          <w:rFonts w:cs="David" w:ascii="David" w:hAnsi="David"/>
          <w:i/>
          <w:iCs/>
        </w:rPr>
        <w:t>6</w:t>
      </w:r>
      <w:r>
        <w:rPr>
          <w:rFonts w:cs="David" w:ascii="David" w:hAnsi="David"/>
          <w:i/>
          <w:iCs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חודשים</w:t>
      </w:r>
      <w:r>
        <w:rPr>
          <w:rFonts w:cs="David" w:ascii="David" w:hAnsi="David"/>
          <w:i/>
          <w:iCs/>
          <w:rtl w:val="true"/>
        </w:rPr>
        <w:t xml:space="preserve">, </w:t>
      </w:r>
      <w:r>
        <w:rPr>
          <w:rFonts w:ascii="David" w:hAnsi="David"/>
          <w:i/>
          <w:i/>
          <w:iCs/>
          <w:rtl w:val="true"/>
        </w:rPr>
        <w:t xml:space="preserve">למשך </w:t>
      </w:r>
      <w:r>
        <w:rPr>
          <w:rFonts w:cs="David" w:ascii="David" w:hAnsi="David"/>
          <w:i/>
          <w:iCs/>
        </w:rPr>
        <w:t>3</w:t>
      </w:r>
      <w:r>
        <w:rPr>
          <w:rFonts w:cs="David" w:ascii="David" w:hAnsi="David"/>
          <w:i/>
          <w:iCs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שנים מהיום</w:t>
      </w:r>
      <w:r>
        <w:rPr>
          <w:rFonts w:cs="David" w:ascii="David" w:hAnsi="David"/>
          <w:i/>
          <w:iCs/>
          <w:rtl w:val="true"/>
        </w:rPr>
        <w:t xml:space="preserve">, </w:t>
      </w:r>
      <w:r>
        <w:rPr>
          <w:rFonts w:ascii="David" w:hAnsi="David"/>
          <w:i/>
          <w:i/>
          <w:iCs/>
          <w:rtl w:val="true"/>
        </w:rPr>
        <w:t xml:space="preserve">והתנאי הוא כי הנאשם לא יעבור בתקופה זו עבירת </w:t>
      </w:r>
      <w:r>
        <w:rPr>
          <w:rFonts w:cs="David" w:ascii="David" w:hAnsi="David"/>
          <w:i/>
          <w:iCs/>
          <w:rtl w:val="true"/>
        </w:rPr>
        <w:t>"</w:t>
      </w:r>
      <w:r>
        <w:rPr>
          <w:rFonts w:ascii="David" w:hAnsi="David"/>
          <w:i/>
          <w:i/>
          <w:iCs/>
          <w:rtl w:val="true"/>
        </w:rPr>
        <w:t>אלימות מסוג פשע</w:t>
      </w:r>
      <w:r>
        <w:rPr>
          <w:rFonts w:cs="David" w:ascii="David" w:hAnsi="David"/>
          <w:i/>
          <w:iCs/>
          <w:rtl w:val="true"/>
        </w:rPr>
        <w:t xml:space="preserve">", </w:t>
      </w:r>
      <w:r>
        <w:rPr>
          <w:rFonts w:ascii="David" w:hAnsi="David"/>
          <w:i/>
          <w:i/>
          <w:iCs/>
          <w:rtl w:val="true"/>
        </w:rPr>
        <w:t>ויורשע עליה בדין</w:t>
      </w:r>
      <w:r>
        <w:rPr>
          <w:rFonts w:cs="David" w:ascii="David" w:hAnsi="David"/>
          <w:i/>
          <w:iCs/>
          <w:rtl w:val="true"/>
        </w:rPr>
        <w:t>"</w:t>
      </w:r>
      <w:r>
        <w:rPr>
          <w:rFonts w:cs="David" w:ascii="David" w:hAnsi="David"/>
          <w:rtl w:val="true"/>
        </w:rPr>
        <w:t xml:space="preserve"> 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התנאי</w:t>
      </w:r>
      <w:r>
        <w:rPr>
          <w:rFonts w:cs="David" w:ascii="David" w:hAnsi="David"/>
          <w:rtl w:val="true"/>
        </w:rPr>
        <w:t>").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b/>
          <w:bCs/>
          <w:sz w:val="14"/>
          <w:szCs w:val="14"/>
          <w:u w:val="single"/>
        </w:rPr>
      </w:pPr>
      <w:r>
        <w:rPr>
          <w:rFonts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הצדדים חלוקים בשאלת תחולת התנאי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תמצית טענות הצדדים כנ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ההגנה אינה חולקת על כך שעבירת הנשק יכול שתפעיל מאסר מותנה שנוסחו 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עבירה שיש בה יסוד של אלימות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אך כאשר התנאי מתייחס לעבירה המוגמרת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קרי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עבירת אלימות מסוג פשע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הוא אינו חל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>במחלוקת שבין הצדדים אני סבור שיש להכריע כפי עמדת ההגנה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בתי המשפט המחוזיים חלוקים בעניין ומעיון בפסיקת בית המשפט העליון הסוגיה טרם הוכרעה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ניתן לטעמי למצוא בה עיגון לעמדת ההגנה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אין מחלוקת כי בעבירה שעניינה החזקת נשק קיים </w:t>
      </w:r>
      <w:r>
        <w:rPr>
          <w:rFonts w:ascii="David" w:hAnsi="David"/>
          <w:u w:val="single"/>
          <w:rtl w:val="true"/>
        </w:rPr>
        <w:t>יסוד</w:t>
      </w:r>
      <w:r>
        <w:rPr>
          <w:rFonts w:ascii="David" w:hAnsi="David"/>
          <w:rtl w:val="true"/>
        </w:rPr>
        <w:t xml:space="preserve"> של אלימות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ראה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David" w:ascii="David" w:hAnsi="David"/>
            <w:color w:val="0000FF"/>
            <w:u w:val="single"/>
          </w:rPr>
          <w:t>4065/18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ישראל איאסו נ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בית המשפט העליון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אלרון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במסגרתו נדון עניינו של מי שהורשע בעבירה של החזקת נשק ותחמושת כשהוא טעון ומוכן לירי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ר לטענת המערער לפיה עבירת הנשק אינה מפעילה תנאי שנוסחו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כל עבירה שיש בה יסוד של אלימות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נאמר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1100" w:end="709"/>
        <w:jc w:val="both"/>
        <w:rPr>
          <w:rFonts w:ascii="David" w:hAnsi="David" w:cs="David"/>
          <w:i/>
          <w:i/>
          <w:iCs/>
          <w:sz w:val="22"/>
          <w:szCs w:val="22"/>
        </w:rPr>
      </w:pP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למעלה מן הצורך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,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ומבלי להידרש למכלול טענותיו המשפטיות של המבקש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,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אציין כי בנסיבות המקרה דנן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,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אני סבור כי העבירה בה הורשע המבקש מקימה יסוד של אלימות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.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כאמור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,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המבקש נתפס כשהוא מחזיק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,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יחד עם אחר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,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נשק מאולתר ובו מחסנית עם תשעה כדורים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,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כשהוא טעון ומוכן לירי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1100" w:end="709"/>
        <w:jc w:val="both"/>
        <w:rPr>
          <w:rFonts w:ascii="David" w:hAnsi="David" w:cs="David"/>
          <w:i/>
          <w:i/>
          <w:iCs/>
          <w:sz w:val="6"/>
          <w:szCs w:val="6"/>
        </w:rPr>
      </w:pPr>
      <w:r>
        <w:rPr>
          <w:rFonts w:cs="David" w:ascii="David" w:hAnsi="David"/>
          <w:i/>
          <w:iCs/>
          <w:sz w:val="6"/>
          <w:szCs w:val="6"/>
          <w:rtl w:val="true"/>
        </w:rPr>
      </w:r>
    </w:p>
    <w:p>
      <w:pPr>
        <w:pStyle w:val="Ruller41"/>
        <w:numPr>
          <w:ilvl w:val="0"/>
          <w:numId w:val="0"/>
        </w:numPr>
        <w:ind w:hanging="0" w:start="1100" w:end="709"/>
        <w:jc w:val="both"/>
        <w:rPr/>
      </w:pPr>
      <w:r>
        <w:rPr>
          <w:rFonts w:ascii="David" w:hAnsi="David" w:cs="David"/>
          <w:i/>
          <w:i/>
          <w:iCs/>
          <w:sz w:val="22"/>
          <w:sz w:val="22"/>
          <w:szCs w:val="22"/>
          <w:rtl w:val="true"/>
        </w:rPr>
        <w:t>בנסיבות אלה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2"/>
          <w:sz w:val="22"/>
          <w:szCs w:val="22"/>
          <w:rtl w:val="true"/>
        </w:rPr>
        <w:t>הגם שהחזקת הנשק לכשעצמה לא הובילה לתוצאה האפשרית של פגיעה בחיי אדם או בשלמות גופו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2"/>
          <w:sz w:val="22"/>
          <w:szCs w:val="22"/>
          <w:rtl w:val="true"/>
        </w:rPr>
        <w:t>הרי שאין ספק שהיא יצרה סיכון ממשי לחיי אדם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. </w:t>
      </w:r>
      <w:r>
        <w:rPr>
          <w:rFonts w:ascii="David" w:hAnsi="David" w:cs="David"/>
          <w:i/>
          <w:i/>
          <w:iCs/>
          <w:sz w:val="22"/>
          <w:sz w:val="22"/>
          <w:szCs w:val="22"/>
          <w:rtl w:val="true"/>
        </w:rPr>
        <w:t xml:space="preserve">אין צורך להכביר מילים על הפוטנציאל ההרסני הטמון בהחזקת נשק </w:t>
      </w:r>
      <w:r>
        <w:rPr>
          <w:rFonts w:ascii="David" w:hAnsi="David" w:cs="David"/>
          <w:i/>
          <w:i/>
          <w:iCs/>
          <w:spacing w:val="0"/>
          <w:sz w:val="22"/>
          <w:sz w:val="22"/>
          <w:szCs w:val="22"/>
          <w:rtl w:val="true"/>
        </w:rPr>
        <w:t>טעון</w:t>
      </w:r>
      <w:r>
        <w:rPr>
          <w:rFonts w:ascii="David" w:hAnsi="David" w:cs="David"/>
          <w:i/>
          <w:i/>
          <w:iCs/>
          <w:sz w:val="22"/>
          <w:sz w:val="22"/>
          <w:szCs w:val="22"/>
          <w:rtl w:val="true"/>
        </w:rPr>
        <w:t xml:space="preserve"> לפגיעה בשלום הציבור ובטחונו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, </w:t>
      </w:r>
      <w:r>
        <w:rPr>
          <w:rFonts w:ascii="David" w:hAnsi="David" w:cs="David"/>
          <w:i/>
          <w:i/>
          <w:iCs/>
          <w:sz w:val="22"/>
          <w:sz w:val="22"/>
          <w:szCs w:val="22"/>
          <w:rtl w:val="true"/>
        </w:rPr>
        <w:t xml:space="preserve">וממילא התנהגות זו מקיימת באופן מהותי את התנאי של </w:t>
      </w:r>
      <w:r>
        <w:rPr>
          <w:rFonts w:cs="David" w:ascii="David" w:hAnsi="David"/>
          <w:i/>
          <w:iCs/>
          <w:sz w:val="22"/>
          <w:szCs w:val="22"/>
          <w:rtl w:val="true"/>
        </w:rPr>
        <w:t>"</w:t>
      </w:r>
      <w:r>
        <w:rPr>
          <w:rFonts w:ascii="David" w:hAnsi="David" w:cs="David"/>
          <w:i/>
          <w:i/>
          <w:iCs/>
          <w:sz w:val="22"/>
          <w:sz w:val="22"/>
          <w:szCs w:val="22"/>
          <w:rtl w:val="true"/>
        </w:rPr>
        <w:t>עבירה שיש בה יסוד של אלימות</w:t>
      </w:r>
      <w:r>
        <w:rPr>
          <w:rFonts w:cs="David" w:ascii="David" w:hAnsi="David"/>
          <w:i/>
          <w:iCs/>
          <w:sz w:val="22"/>
          <w:szCs w:val="22"/>
          <w:rtl w:val="true"/>
        </w:rPr>
        <w:t>" (</w:t>
      </w:r>
      <w:r>
        <w:rPr>
          <w:rFonts w:ascii="David" w:hAnsi="David" w:cs="David"/>
          <w:i/>
          <w:i/>
          <w:iCs/>
          <w:sz w:val="22"/>
          <w:sz w:val="22"/>
          <w:szCs w:val="22"/>
          <w:rtl w:val="true"/>
        </w:rPr>
        <w:t xml:space="preserve">פסקה </w:t>
      </w:r>
      <w:r>
        <w:rPr>
          <w:rFonts w:cs="David" w:ascii="David" w:hAnsi="David"/>
          <w:i/>
          <w:iCs/>
          <w:sz w:val="22"/>
          <w:szCs w:val="22"/>
        </w:rPr>
        <w:t>11</w:t>
      </w:r>
      <w:r>
        <w:rPr>
          <w:rFonts w:cs="David" w:ascii="David" w:hAnsi="David"/>
          <w:i/>
          <w:iCs/>
          <w:sz w:val="22"/>
          <w:szCs w:val="22"/>
          <w:rtl w:val="true"/>
        </w:rPr>
        <w:t>).</w:t>
      </w:r>
    </w:p>
    <w:p>
      <w:pPr>
        <w:pStyle w:val="Ruller4"/>
        <w:ind w:end="0"/>
        <w:jc w:val="both"/>
        <w:rPr>
          <w:rFonts w:ascii="David" w:hAnsi="David" w:cs="David"/>
          <w:i/>
          <w:i/>
          <w:iCs/>
          <w:sz w:val="8"/>
          <w:szCs w:val="12"/>
        </w:rPr>
      </w:pPr>
      <w:r>
        <w:rPr>
          <w:rFonts w:cs="David" w:ascii="David" w:hAnsi="David"/>
          <w:i/>
          <w:iCs/>
          <w:sz w:val="8"/>
          <w:szCs w:val="12"/>
          <w:rtl w:val="true"/>
        </w:rPr>
      </w:r>
    </w:p>
    <w:p>
      <w:pPr>
        <w:pStyle w:val="Ruller4"/>
        <w:ind w:start="72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עולה כי עבירה של החזקת נשק טעון ומוכן לירי מפעילה תנאי שעניינו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עבירה שיש בה יסוד של אלימות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אמנם אין בהחלטה התייחסות לעבירת אלימות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מוגמרת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אך בית המשפט מסביר כי מדובר בעבירה המקימה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יסוד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של אלימות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Ruller4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4"/>
        <w:ind w:start="72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1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7895/04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hyperlink r:id="rId1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8039/04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פלוני נ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מ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במסגרתו התייחס בית המשפט להגדרתה של עבירת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אלימות</w:t>
      </w:r>
      <w:r>
        <w:rPr>
          <w:rFonts w:cs="David" w:ascii="David" w:hAnsi="David"/>
          <w:sz w:val="24"/>
          <w:szCs w:val="24"/>
          <w:rtl w:val="true"/>
        </w:rPr>
        <w:t xml:space="preserve">",  </w:t>
      </w:r>
      <w:r>
        <w:rPr>
          <w:rFonts w:ascii="David" w:hAnsi="David" w:cs="David"/>
          <w:sz w:val="24"/>
          <w:sz w:val="24"/>
          <w:szCs w:val="24"/>
          <w:rtl w:val="true"/>
        </w:rPr>
        <w:t>צוין בין היתר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עבירות בנשק לפי </w:t>
      </w:r>
      <w:hyperlink r:id="rId16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 אינה מסווג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 כעבירת אלימות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ר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ס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לפסק הדין</w:t>
      </w:r>
      <w:r>
        <w:rPr>
          <w:rFonts w:cs="David" w:ascii="David" w:hAnsi="David"/>
          <w:sz w:val="24"/>
          <w:szCs w:val="24"/>
          <w:rtl w:val="true"/>
        </w:rPr>
        <w:t xml:space="preserve">).  </w:t>
      </w:r>
    </w:p>
    <w:p>
      <w:pPr>
        <w:pStyle w:val="Ruller4"/>
        <w:ind w:start="720" w:end="0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Ruller4"/>
        <w:numPr>
          <w:ilvl w:val="0"/>
          <w:numId w:val="2"/>
        </w:numPr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קיים שוני מהותי בין עבירת אלימות מוגמרת בה מתקיימים כל יסודות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לבין עבירה בה אחד מיסודותיה הוא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אלימות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בעבירה המוגמרת הופעלה אלימות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פיזית או איום באלימות פיזית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כלפי ק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רבן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בעוד שבעבירה של החזקת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קיים אמנם יסוד של אלימות אך זו לא הופעלה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וק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רבן העבירה לא חווה אותה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b/>
          <w:bCs/>
          <w:sz w:val="2"/>
          <w:szCs w:val="2"/>
          <w:u w:val="single"/>
        </w:rPr>
      </w:pPr>
      <w:r>
        <w:rPr>
          <w:rFonts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b/>
          <w:bCs/>
          <w:sz w:val="16"/>
          <w:szCs w:val="16"/>
          <w:u w:val="single"/>
        </w:rPr>
      </w:pPr>
      <w:r>
        <w:rPr>
          <w:rFonts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ListParagraph"/>
        <w:spacing w:lineRule="auto" w:line="360"/>
        <w:ind w:end="0"/>
        <w:jc w:val="start"/>
        <w:rPr/>
      </w:pPr>
      <w:r>
        <w:rPr>
          <w:rFonts w:ascii="David" w:hAnsi="David"/>
          <w:rtl w:val="true"/>
        </w:rPr>
        <w:t>ב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15744-02-20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מדינת ישראל נ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 xml:space="preserve">בויראת </w:t>
      </w:r>
      <w:r>
        <w:rPr>
          <w:rFonts w:cs="David" w:ascii="David" w:hAnsi="David"/>
          <w:u w:val="single"/>
          <w:rtl w:val="true"/>
        </w:rPr>
        <w:t>(</w:t>
      </w:r>
      <w:r>
        <w:rPr>
          <w:rFonts w:ascii="David" w:hAnsi="David"/>
          <w:u w:val="single"/>
          <w:rtl w:val="true"/>
        </w:rPr>
        <w:t>מחוזי חיפה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כב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השופטת ת</w:t>
      </w:r>
      <w:r>
        <w:rPr>
          <w:rFonts w:cs="David" w:ascii="David" w:hAnsi="David"/>
          <w:u w:val="single"/>
          <w:rtl w:val="true"/>
        </w:rPr>
        <w:t>.</w:t>
      </w:r>
      <w:r>
        <w:rPr>
          <w:rFonts w:ascii="David" w:hAnsi="David"/>
          <w:u w:val="single"/>
          <w:rtl w:val="true"/>
        </w:rPr>
        <w:t>מ</w:t>
      </w:r>
      <w:r>
        <w:rPr>
          <w:rFonts w:cs="David" w:ascii="David" w:hAnsi="David"/>
          <w:u w:val="single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נתנאל</w:t>
      </w:r>
      <w:r>
        <w:rPr>
          <w:rFonts w:cs="David" w:ascii="David" w:hAnsi="David"/>
          <w:u w:val="single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:"</w:t>
      </w:r>
      <w:r>
        <w:rPr>
          <w:rFonts w:ascii="David" w:hAnsi="David"/>
          <w:rtl w:val="true"/>
        </w:rPr>
        <w:t>בויראת</w:t>
      </w:r>
      <w:r>
        <w:rPr>
          <w:rFonts w:cs="David" w:ascii="David" w:hAnsi="David"/>
          <w:rtl w:val="true"/>
        </w:rPr>
        <w:t xml:space="preserve">",  </w:t>
      </w:r>
      <w:r>
        <w:rPr>
          <w:rFonts w:ascii="David" w:hAnsi="David"/>
          <w:rtl w:val="true"/>
        </w:rPr>
        <w:t>נדון מקרה זהה לעניינו של הנאשם שבפניי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שם הורשע הנאשם בין היתר בעבירות של 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והובלה ברכב של  אקדח חצי אוטומטי טעון מחסנית עם שמונה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התנאי התייחס לעבירת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אלימות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בית המשפט ניתח בהרחבה את הסוגיה שבמחלוקת תוך התייחסות לפסיקות קודמות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start="1100" w:end="709"/>
        <w:jc w:val="both"/>
        <w:rPr>
          <w:rFonts w:ascii="David" w:hAnsi="David" w:cs="David"/>
          <w:i/>
          <w:i/>
          <w:iCs/>
        </w:rPr>
      </w:pPr>
      <w:r>
        <w:rPr>
          <w:rFonts w:ascii="David" w:hAnsi="David"/>
          <w:i/>
          <w:i/>
          <w:iCs/>
          <w:rtl w:val="true"/>
        </w:rPr>
        <w:t>הנה כי כן</w:t>
      </w:r>
      <w:r>
        <w:rPr>
          <w:rFonts w:cs="David" w:ascii="David" w:hAnsi="David"/>
          <w:i/>
          <w:iCs/>
          <w:rtl w:val="true"/>
        </w:rPr>
        <w:t xml:space="preserve">, </w:t>
      </w:r>
      <w:r>
        <w:rPr>
          <w:rFonts w:ascii="David" w:hAnsi="David"/>
          <w:i/>
          <w:i/>
          <w:iCs/>
          <w:rtl w:val="true"/>
        </w:rPr>
        <w:t>ההבדל המרכזי בניסוח התנאים הוא שבעניין איאסו נדרשת</w:t>
      </w:r>
      <w:r>
        <w:rPr>
          <w:rFonts w:cs="David" w:ascii="David" w:hAnsi="David"/>
          <w:i/>
          <w:iCs/>
          <w:rtl w:val="true"/>
        </w:rPr>
        <w:t xml:space="preserve">, </w:t>
      </w:r>
      <w:r>
        <w:rPr>
          <w:rFonts w:ascii="David" w:hAnsi="David"/>
          <w:i/>
          <w:i/>
          <w:iCs/>
          <w:rtl w:val="true"/>
        </w:rPr>
        <w:t>לשם הפעלת התנאי</w:t>
      </w:r>
      <w:r>
        <w:rPr>
          <w:rFonts w:cs="David" w:ascii="David" w:hAnsi="David"/>
          <w:i/>
          <w:iCs/>
          <w:rtl w:val="true"/>
        </w:rPr>
        <w:t xml:space="preserve">, </w:t>
      </w:r>
      <w:r>
        <w:rPr>
          <w:rFonts w:ascii="David" w:hAnsi="David"/>
          <w:i/>
          <w:i/>
          <w:iCs/>
          <w:rtl w:val="true"/>
        </w:rPr>
        <w:t xml:space="preserve">עבירה שיש בה </w:t>
      </w:r>
      <w:r>
        <w:rPr>
          <w:rFonts w:cs="David" w:ascii="David" w:hAnsi="David"/>
          <w:i/>
          <w:iCs/>
          <w:rtl w:val="true"/>
        </w:rPr>
        <w:t>"</w:t>
      </w:r>
      <w:r>
        <w:rPr>
          <w:rFonts w:ascii="David" w:hAnsi="David"/>
          <w:b/>
          <w:b/>
          <w:bCs/>
          <w:i/>
          <w:i/>
          <w:iCs/>
          <w:rtl w:val="true"/>
        </w:rPr>
        <w:t>יסוד</w:t>
      </w:r>
      <w:r>
        <w:rPr>
          <w:rFonts w:cs="David" w:ascii="David" w:hAnsi="David"/>
          <w:i/>
          <w:iCs/>
          <w:rtl w:val="true"/>
        </w:rPr>
        <w:t xml:space="preserve">" </w:t>
      </w:r>
      <w:r>
        <w:rPr>
          <w:rFonts w:ascii="David" w:hAnsi="David"/>
          <w:i/>
          <w:i/>
          <w:iCs/>
          <w:rtl w:val="true"/>
        </w:rPr>
        <w:t>של אלימות</w:t>
      </w:r>
      <w:r>
        <w:rPr>
          <w:rFonts w:cs="David" w:ascii="David" w:hAnsi="David"/>
          <w:i/>
          <w:iCs/>
          <w:rtl w:val="true"/>
        </w:rPr>
        <w:t xml:space="preserve">, </w:t>
      </w:r>
      <w:r>
        <w:rPr>
          <w:rFonts w:ascii="David" w:hAnsi="David"/>
          <w:i/>
          <w:i/>
          <w:iCs/>
          <w:rtl w:val="true"/>
        </w:rPr>
        <w:t>בעוד שבענייננו דורשת הפעלת התנאי</w:t>
      </w:r>
      <w:r>
        <w:rPr>
          <w:rFonts w:cs="David" w:ascii="David" w:hAnsi="David"/>
          <w:i/>
          <w:iCs/>
          <w:rtl w:val="true"/>
        </w:rPr>
        <w:t xml:space="preserve">, </w:t>
      </w:r>
      <w:r>
        <w:rPr>
          <w:rFonts w:ascii="David" w:hAnsi="David"/>
          <w:i/>
          <w:i/>
          <w:iCs/>
          <w:rtl w:val="true"/>
        </w:rPr>
        <w:t xml:space="preserve">ביצוע עבירת אלימות </w:t>
      </w:r>
      <w:r>
        <w:rPr>
          <w:rFonts w:cs="David" w:ascii="David" w:hAnsi="David"/>
          <w:i/>
          <w:iCs/>
          <w:rtl w:val="true"/>
        </w:rPr>
        <w:t>"</w:t>
      </w:r>
      <w:r>
        <w:rPr>
          <w:rFonts w:ascii="David" w:hAnsi="David"/>
          <w:i/>
          <w:i/>
          <w:iCs/>
          <w:rtl w:val="true"/>
        </w:rPr>
        <w:t>מושלמת</w:t>
      </w:r>
      <w:r>
        <w:rPr>
          <w:rFonts w:cs="David" w:ascii="David" w:hAnsi="David"/>
          <w:i/>
          <w:iCs/>
          <w:rtl w:val="true"/>
        </w:rPr>
        <w:t xml:space="preserve">", </w:t>
      </w:r>
      <w:r>
        <w:rPr>
          <w:rFonts w:ascii="David" w:hAnsi="David"/>
          <w:i/>
          <w:i/>
          <w:iCs/>
          <w:rtl w:val="true"/>
        </w:rPr>
        <w:t xml:space="preserve">היינו </w:t>
      </w:r>
      <w:r>
        <w:rPr>
          <w:rFonts w:cs="David" w:ascii="David" w:hAnsi="David"/>
          <w:i/>
          <w:iCs/>
          <w:rtl w:val="true"/>
        </w:rPr>
        <w:t xml:space="preserve">- </w:t>
      </w:r>
      <w:r>
        <w:rPr>
          <w:rFonts w:ascii="David" w:hAnsi="David"/>
          <w:i/>
          <w:i/>
          <w:iCs/>
          <w:rtl w:val="true"/>
        </w:rPr>
        <w:t>ביצוע של כל הרכיבים של עבירה כזו</w:t>
      </w:r>
      <w:r>
        <w:rPr>
          <w:rFonts w:cs="David" w:ascii="David" w:hAnsi="David"/>
          <w:i/>
          <w:iCs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240" w:after="0"/>
        <w:ind w:start="1100" w:end="709"/>
        <w:jc w:val="both"/>
        <w:rPr/>
      </w:pPr>
      <w:r>
        <w:rPr>
          <w:rFonts w:ascii="David" w:hAnsi="David"/>
          <w:i/>
          <w:i/>
          <w:iCs/>
          <w:rtl w:val="true"/>
        </w:rPr>
        <w:t>לכן</w:t>
      </w:r>
      <w:r>
        <w:rPr>
          <w:rFonts w:cs="David" w:ascii="David" w:hAnsi="David"/>
          <w:i/>
          <w:iCs/>
          <w:rtl w:val="true"/>
        </w:rPr>
        <w:t xml:space="preserve">, </w:t>
      </w:r>
      <w:r>
        <w:rPr>
          <w:rFonts w:ascii="David" w:hAnsi="David"/>
          <w:i/>
          <w:i/>
          <w:iCs/>
          <w:rtl w:val="true"/>
        </w:rPr>
        <w:t xml:space="preserve">הגם שמדובר בעבירה של החזקת נשק </w:t>
      </w:r>
      <w:r>
        <w:rPr>
          <w:rFonts w:cs="David" w:ascii="David" w:hAnsi="David"/>
          <w:i/>
          <w:iCs/>
          <w:rtl w:val="true"/>
        </w:rPr>
        <w:t xml:space="preserve">- </w:t>
      </w:r>
      <w:r>
        <w:rPr>
          <w:rFonts w:ascii="David" w:hAnsi="David"/>
          <w:i/>
          <w:i/>
          <w:iCs/>
          <w:rtl w:val="true"/>
        </w:rPr>
        <w:t xml:space="preserve">באופן בו הוא הוחזק בעניין איאסו ובאופן בו הוא הוחזק בענייננו </w:t>
      </w:r>
      <w:r>
        <w:rPr>
          <w:rFonts w:cs="David" w:ascii="David" w:hAnsi="David"/>
          <w:i/>
          <w:iCs/>
          <w:rtl w:val="true"/>
        </w:rPr>
        <w:t>(</w:t>
      </w:r>
      <w:r>
        <w:rPr>
          <w:rFonts w:ascii="David" w:hAnsi="David"/>
          <w:i/>
          <w:i/>
          <w:iCs/>
          <w:rtl w:val="true"/>
        </w:rPr>
        <w:t>כשהוא טעון במחסנית עם כדורים וכדור נוסף באקדח</w:t>
      </w:r>
      <w:r>
        <w:rPr>
          <w:rFonts w:cs="David" w:ascii="David" w:hAnsi="David"/>
          <w:i/>
          <w:iCs/>
          <w:rtl w:val="true"/>
        </w:rPr>
        <w:t xml:space="preserve">) </w:t>
      </w:r>
      <w:r>
        <w:rPr>
          <w:rFonts w:ascii="David" w:hAnsi="David"/>
          <w:i/>
          <w:i/>
          <w:iCs/>
          <w:rtl w:val="true"/>
        </w:rPr>
        <w:t>אין די בפוטנציאל ההרסני שיש בנסיבות אלה</w:t>
      </w:r>
      <w:r>
        <w:rPr>
          <w:rFonts w:cs="David" w:ascii="David" w:hAnsi="David"/>
          <w:i/>
          <w:iCs/>
          <w:rtl w:val="true"/>
        </w:rPr>
        <w:t xml:space="preserve">, </w:t>
      </w:r>
      <w:r>
        <w:rPr>
          <w:rFonts w:ascii="David" w:hAnsi="David"/>
          <w:i/>
          <w:i/>
          <w:iCs/>
          <w:rtl w:val="true"/>
        </w:rPr>
        <w:t xml:space="preserve">כדי למלא </w:t>
      </w:r>
      <w:r>
        <w:rPr>
          <w:rFonts w:ascii="David" w:hAnsi="David"/>
          <w:b/>
          <w:b/>
          <w:bCs/>
          <w:i/>
          <w:i/>
          <w:iCs/>
          <w:rtl w:val="true"/>
        </w:rPr>
        <w:t>אחר כל היסודות</w:t>
      </w:r>
      <w:r>
        <w:rPr>
          <w:rFonts w:ascii="David" w:hAnsi="David"/>
          <w:i/>
          <w:i/>
          <w:iCs/>
          <w:rtl w:val="true"/>
        </w:rPr>
        <w:t xml:space="preserve"> של עבירת אלימות</w:t>
      </w:r>
      <w:r>
        <w:rPr>
          <w:rFonts w:cs="David" w:ascii="David" w:hAnsi="David"/>
          <w:i/>
          <w:iCs/>
          <w:rtl w:val="true"/>
        </w:rPr>
        <w:t xml:space="preserve">. </w:t>
      </w:r>
      <w:r>
        <w:rPr>
          <w:rFonts w:ascii="David" w:hAnsi="David"/>
          <w:i/>
          <w:i/>
          <w:iCs/>
          <w:rtl w:val="true"/>
        </w:rPr>
        <w:t>על מנת שניתן יהיה להפעיל תנאי שהושת על נאשם</w:t>
      </w:r>
      <w:r>
        <w:rPr>
          <w:rFonts w:cs="David" w:ascii="David" w:hAnsi="David"/>
          <w:i/>
          <w:iCs/>
          <w:rtl w:val="true"/>
        </w:rPr>
        <w:t xml:space="preserve">, </w:t>
      </w:r>
      <w:r>
        <w:rPr>
          <w:rFonts w:ascii="David" w:hAnsi="David"/>
          <w:i/>
          <w:i/>
          <w:iCs/>
          <w:rtl w:val="true"/>
        </w:rPr>
        <w:t>יש לוודא שהתנאי יהיה מובן לו</w:t>
      </w:r>
      <w:r>
        <w:rPr>
          <w:rFonts w:cs="David" w:ascii="David" w:hAnsi="David"/>
          <w:i/>
          <w:iCs/>
          <w:rtl w:val="true"/>
        </w:rPr>
        <w:t xml:space="preserve">, </w:t>
      </w:r>
      <w:r>
        <w:rPr>
          <w:rFonts w:ascii="David" w:hAnsi="David"/>
          <w:i/>
          <w:i/>
          <w:iCs/>
          <w:rtl w:val="true"/>
        </w:rPr>
        <w:t xml:space="preserve">היינו </w:t>
      </w:r>
      <w:r>
        <w:rPr>
          <w:rFonts w:cs="David" w:ascii="David" w:hAnsi="David"/>
          <w:i/>
          <w:iCs/>
          <w:rtl w:val="true"/>
        </w:rPr>
        <w:t xml:space="preserve">- </w:t>
      </w:r>
      <w:r>
        <w:rPr>
          <w:rFonts w:ascii="David" w:hAnsi="David"/>
          <w:i/>
          <w:i/>
          <w:iCs/>
          <w:rtl w:val="true"/>
        </w:rPr>
        <w:t>שהנאשם יידע אילו מעשים</w:t>
      </w:r>
      <w:r>
        <w:rPr>
          <w:rFonts w:cs="David" w:ascii="David" w:hAnsi="David"/>
          <w:i/>
          <w:iCs/>
          <w:rtl w:val="true"/>
        </w:rPr>
        <w:t>/</w:t>
      </w:r>
      <w:r>
        <w:rPr>
          <w:rFonts w:ascii="David" w:hAnsi="David"/>
          <w:i/>
          <w:i/>
          <w:iCs/>
          <w:rtl w:val="true"/>
        </w:rPr>
        <w:t>עבירות</w:t>
      </w:r>
      <w:r>
        <w:rPr>
          <w:rFonts w:cs="David" w:ascii="David" w:hAnsi="David"/>
          <w:i/>
          <w:iCs/>
          <w:rtl w:val="true"/>
        </w:rPr>
        <w:t xml:space="preserve">, </w:t>
      </w:r>
      <w:r>
        <w:rPr>
          <w:rFonts w:ascii="David" w:hAnsi="David"/>
          <w:i/>
          <w:i/>
          <w:iCs/>
          <w:rtl w:val="true"/>
        </w:rPr>
        <w:t>יפעילו את התנאי וספק בעניין זה צריך שיפעל לטובת הנאשם</w:t>
      </w:r>
      <w:r>
        <w:rPr>
          <w:rFonts w:cs="David" w:ascii="David" w:hAnsi="David"/>
          <w:i/>
          <w:iCs/>
          <w:rtl w:val="true"/>
        </w:rPr>
        <w:t xml:space="preserve">. </w:t>
      </w:r>
      <w:r>
        <w:rPr>
          <w:rFonts w:ascii="David" w:hAnsi="David"/>
          <w:i/>
          <w:i/>
          <w:iCs/>
          <w:rtl w:val="true"/>
        </w:rPr>
        <w:t>לא אוכל לקבוע כי בענייננו יכול היה הנאשם להבין כי נשיאת נשק</w:t>
      </w:r>
      <w:r>
        <w:rPr>
          <w:rFonts w:cs="David" w:ascii="David" w:hAnsi="David"/>
          <w:i/>
          <w:iCs/>
          <w:rtl w:val="true"/>
        </w:rPr>
        <w:t xml:space="preserve">, </w:t>
      </w:r>
      <w:r>
        <w:rPr>
          <w:rFonts w:ascii="David" w:hAnsi="David"/>
          <w:i/>
          <w:i/>
          <w:iCs/>
          <w:rtl w:val="true"/>
        </w:rPr>
        <w:t>באופן בו הוא נשא אותו</w:t>
      </w:r>
      <w:r>
        <w:rPr>
          <w:rFonts w:cs="David" w:ascii="David" w:hAnsi="David"/>
          <w:i/>
          <w:iCs/>
          <w:rtl w:val="true"/>
        </w:rPr>
        <w:t xml:space="preserve">, </w:t>
      </w:r>
      <w:r>
        <w:rPr>
          <w:rFonts w:ascii="David" w:hAnsi="David"/>
          <w:i/>
          <w:i/>
          <w:iCs/>
          <w:rtl w:val="true"/>
        </w:rPr>
        <w:t>תיחשב כעבירת אלימות</w:t>
      </w:r>
      <w:r>
        <w:rPr>
          <w:rFonts w:cs="David" w:ascii="David" w:hAnsi="David"/>
          <w:i/>
          <w:iCs/>
          <w:rtl w:val="true"/>
        </w:rPr>
        <w:t>.</w:t>
      </w:r>
    </w:p>
    <w:p>
      <w:pPr>
        <w:pStyle w:val="Ruller4"/>
        <w:ind w:start="720" w:end="0"/>
        <w:jc w:val="both"/>
        <w:rPr>
          <w:rFonts w:ascii="David" w:hAnsi="David" w:cs="David"/>
          <w:i/>
          <w:i/>
          <w:iCs/>
          <w:sz w:val="16"/>
          <w:szCs w:val="16"/>
        </w:rPr>
      </w:pPr>
      <w:r>
        <w:rPr>
          <w:rFonts w:cs="David" w:ascii="David" w:hAnsi="David"/>
          <w:i/>
          <w:iCs/>
          <w:sz w:val="16"/>
          <w:szCs w:val="16"/>
          <w:rtl w:val="true"/>
        </w:rPr>
      </w:r>
    </w:p>
    <w:p>
      <w:pPr>
        <w:pStyle w:val="Ruller4"/>
        <w:ind w:start="72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1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3742-07-18</w:t>
        </w:r>
      </w:hyperlink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מדינת ישראל נ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מערוף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מחוזי חיפה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אבי לוי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:"</w:t>
      </w:r>
      <w:r>
        <w:rPr>
          <w:rFonts w:ascii="David" w:hAnsi="David" w:cs="David"/>
          <w:sz w:val="24"/>
          <w:sz w:val="24"/>
          <w:szCs w:val="24"/>
          <w:rtl w:val="true"/>
        </w:rPr>
        <w:t>מערוף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נדונה שאלת  תחולתו של תנאי שעניינו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אלימות פיזית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ביחס למי שנשא רימוני גז שבכוחם להזיק לאדם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בהתייחסו לעניין איאסו נאמר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360" w:before="240" w:after="0"/>
        <w:ind w:start="1100" w:end="567"/>
        <w:jc w:val="both"/>
        <w:rPr>
          <w:rFonts w:ascii="David" w:hAnsi="David" w:cs="David"/>
          <w:i/>
          <w:i/>
          <w:iCs/>
        </w:rPr>
      </w:pPr>
      <w:r>
        <w:rPr>
          <w:rFonts w:ascii="David" w:hAnsi="David"/>
          <w:i/>
          <w:i/>
          <w:iCs/>
          <w:rtl w:val="true"/>
        </w:rPr>
        <w:t>בית</w:t>
      </w:r>
      <w:r>
        <w:rPr>
          <w:rFonts w:cs="David" w:ascii="David" w:hAnsi="David"/>
          <w:i/>
          <w:iCs/>
          <w:rtl w:val="true"/>
        </w:rPr>
        <w:t>-</w:t>
      </w:r>
      <w:r>
        <w:rPr>
          <w:rFonts w:ascii="David" w:hAnsi="David"/>
          <w:i/>
          <w:i/>
          <w:iCs/>
          <w:rtl w:val="true"/>
        </w:rPr>
        <w:t>המשפט העליון לא קבע שכל עבירה שעניינה נשיאת נשק היא עבירה שיש בה יסוד של אלימות</w:t>
      </w:r>
      <w:r>
        <w:rPr>
          <w:rFonts w:cs="David" w:ascii="David" w:hAnsi="David"/>
          <w:i/>
          <w:iCs/>
          <w:rtl w:val="true"/>
        </w:rPr>
        <w:t xml:space="preserve">. </w:t>
      </w:r>
      <w:r>
        <w:rPr>
          <w:rFonts w:ascii="David" w:hAnsi="David"/>
          <w:i/>
          <w:i/>
          <w:iCs/>
          <w:rtl w:val="true"/>
        </w:rPr>
        <w:t>ההיפך הוא הנכון</w:t>
      </w:r>
      <w:r>
        <w:rPr>
          <w:rFonts w:cs="David" w:ascii="David" w:hAnsi="David"/>
          <w:i/>
          <w:iCs/>
          <w:rtl w:val="true"/>
        </w:rPr>
        <w:t xml:space="preserve">. </w:t>
      </w:r>
      <w:r>
        <w:rPr>
          <w:rFonts w:ascii="David" w:hAnsi="David"/>
          <w:i/>
          <w:i/>
          <w:iCs/>
          <w:rtl w:val="true"/>
        </w:rPr>
        <w:t>בית</w:t>
      </w:r>
      <w:r>
        <w:rPr>
          <w:rFonts w:cs="David" w:ascii="David" w:hAnsi="David"/>
          <w:i/>
          <w:iCs/>
          <w:rtl w:val="true"/>
        </w:rPr>
        <w:t>-</w:t>
      </w:r>
      <w:r>
        <w:rPr>
          <w:rFonts w:ascii="David" w:hAnsi="David"/>
          <w:i/>
          <w:i/>
          <w:iCs/>
          <w:rtl w:val="true"/>
        </w:rPr>
        <w:t>המשפט העליון קבע</w:t>
      </w:r>
      <w:r>
        <w:rPr>
          <w:rFonts w:cs="David" w:ascii="David" w:hAnsi="David"/>
          <w:i/>
          <w:iCs/>
          <w:rtl w:val="true"/>
        </w:rPr>
        <w:t xml:space="preserve">, </w:t>
      </w:r>
      <w:r>
        <w:rPr>
          <w:rFonts w:ascii="David" w:hAnsi="David"/>
          <w:i/>
          <w:i/>
          <w:iCs/>
          <w:rtl w:val="true"/>
        </w:rPr>
        <w:t xml:space="preserve">שבנסיבות הקונקרטיות אשר נדונו בפניו </w:t>
      </w:r>
      <w:r>
        <w:rPr>
          <w:rFonts w:cs="David" w:ascii="David" w:hAnsi="David"/>
          <w:i/>
          <w:iCs/>
          <w:rtl w:val="true"/>
        </w:rPr>
        <w:t>(</w:t>
      </w:r>
      <w:r>
        <w:rPr>
          <w:rFonts w:ascii="David" w:hAnsi="David"/>
          <w:i/>
          <w:i/>
          <w:iCs/>
          <w:rtl w:val="true"/>
        </w:rPr>
        <w:t>החזקת נשק מאולתר טעון במחסנית ובכדורים ומוכן לירי</w:t>
      </w:r>
      <w:r>
        <w:rPr>
          <w:rFonts w:cs="David" w:ascii="David" w:hAnsi="David"/>
          <w:i/>
          <w:iCs/>
          <w:rtl w:val="true"/>
        </w:rPr>
        <w:t xml:space="preserve">) </w:t>
      </w:r>
      <w:r>
        <w:rPr>
          <w:rFonts w:ascii="David" w:hAnsi="David"/>
          <w:i/>
          <w:i/>
          <w:iCs/>
          <w:rtl w:val="true"/>
        </w:rPr>
        <w:t xml:space="preserve">ראוי לראות במעשה </w:t>
      </w:r>
      <w:r>
        <w:rPr>
          <w:rFonts w:cs="David" w:ascii="David" w:hAnsi="David"/>
          <w:i/>
          <w:iCs/>
          <w:rtl w:val="true"/>
        </w:rPr>
        <w:t xml:space="preserve">- </w:t>
      </w:r>
      <w:r>
        <w:rPr>
          <w:rFonts w:ascii="David" w:hAnsi="David"/>
          <w:i/>
          <w:i/>
          <w:iCs/>
          <w:rtl w:val="true"/>
        </w:rPr>
        <w:t xml:space="preserve">כזה שיש בו </w:t>
      </w:r>
      <w:r>
        <w:rPr>
          <w:rFonts w:cs="David" w:ascii="David" w:hAnsi="David"/>
          <w:i/>
          <w:iCs/>
          <w:rtl w:val="true"/>
        </w:rPr>
        <w:t>"</w:t>
      </w:r>
      <w:r>
        <w:rPr>
          <w:rFonts w:ascii="David" w:hAnsi="David"/>
          <w:i/>
          <w:i/>
          <w:iCs/>
          <w:rtl w:val="true"/>
        </w:rPr>
        <w:t>יסוד של אלימות</w:t>
      </w:r>
      <w:r>
        <w:rPr>
          <w:rFonts w:cs="David" w:ascii="David" w:hAnsi="David"/>
          <w:i/>
          <w:iCs/>
          <w:rtl w:val="true"/>
        </w:rPr>
        <w:t xml:space="preserve">". </w:t>
      </w:r>
    </w:p>
    <w:p>
      <w:pPr>
        <w:pStyle w:val="Normal"/>
        <w:spacing w:lineRule="auto" w:line="360" w:before="240" w:after="0"/>
        <w:ind w:start="1100" w:end="567"/>
        <w:jc w:val="both"/>
        <w:rPr/>
      </w:pPr>
      <w:r>
        <w:rPr>
          <w:rFonts w:cs="David" w:ascii="David" w:hAnsi="David"/>
          <w:i/>
          <w:iCs/>
          <w:rtl w:val="true"/>
        </w:rPr>
        <w:t>...</w:t>
      </w:r>
      <w:r>
        <w:rPr>
          <w:rFonts w:ascii="David" w:hAnsi="David"/>
          <w:i/>
          <w:i/>
          <w:iCs/>
          <w:rtl w:val="true"/>
        </w:rPr>
        <w:t>בצד השני של המשוואה</w:t>
      </w:r>
      <w:r>
        <w:rPr>
          <w:rFonts w:cs="David" w:ascii="David" w:hAnsi="David"/>
          <w:i/>
          <w:iCs/>
          <w:rtl w:val="true"/>
        </w:rPr>
        <w:t xml:space="preserve">, </w:t>
      </w:r>
      <w:r>
        <w:rPr>
          <w:rFonts w:ascii="David" w:hAnsi="David"/>
          <w:i/>
          <w:i/>
          <w:iCs/>
          <w:rtl w:val="true"/>
        </w:rPr>
        <w:t>עת בוחנים את התנאי שנקבע</w:t>
      </w:r>
      <w:r>
        <w:rPr>
          <w:rFonts w:cs="David" w:ascii="David" w:hAnsi="David"/>
          <w:i/>
          <w:iCs/>
          <w:rtl w:val="true"/>
        </w:rPr>
        <w:t xml:space="preserve">, </w:t>
      </w:r>
      <w:r>
        <w:rPr>
          <w:rFonts w:ascii="David" w:hAnsi="David"/>
          <w:i/>
          <w:i/>
          <w:iCs/>
          <w:rtl w:val="true"/>
        </w:rPr>
        <w:t xml:space="preserve">אין מדובר בעבירה </w:t>
      </w:r>
      <w:r>
        <w:rPr>
          <w:rFonts w:cs="David" w:ascii="David" w:hAnsi="David"/>
          <w:i/>
          <w:iCs/>
          <w:rtl w:val="true"/>
        </w:rPr>
        <w:t>"</w:t>
      </w:r>
      <w:r>
        <w:rPr>
          <w:rFonts w:ascii="David" w:hAnsi="David"/>
          <w:i/>
          <w:i/>
          <w:iCs/>
          <w:rtl w:val="true"/>
        </w:rPr>
        <w:t>שיש בה יסוד של אלימות</w:t>
      </w:r>
      <w:r>
        <w:rPr>
          <w:rFonts w:cs="David" w:ascii="David" w:hAnsi="David"/>
          <w:i/>
          <w:iCs/>
          <w:rtl w:val="true"/>
        </w:rPr>
        <w:t xml:space="preserve">" </w:t>
      </w:r>
      <w:r>
        <w:rPr>
          <w:rFonts w:ascii="David" w:hAnsi="David"/>
          <w:i/>
          <w:i/>
          <w:iCs/>
          <w:rtl w:val="true"/>
        </w:rPr>
        <w:t>כפי שהיה במקרה שנדון בפרשת איאסו אלא בעבירה של אלימות פיסית</w:t>
      </w:r>
      <w:r>
        <w:rPr>
          <w:rFonts w:cs="David" w:ascii="David" w:hAnsi="David"/>
          <w:i/>
          <w:iCs/>
          <w:rtl w:val="true"/>
        </w:rPr>
        <w:t xml:space="preserve">. </w:t>
      </w:r>
      <w:r>
        <w:rPr>
          <w:rFonts w:ascii="David" w:hAnsi="David"/>
          <w:i/>
          <w:i/>
          <w:iCs/>
          <w:rtl w:val="true"/>
        </w:rPr>
        <w:t>בית</w:t>
      </w:r>
      <w:r>
        <w:rPr>
          <w:rFonts w:cs="David" w:ascii="David" w:hAnsi="David"/>
          <w:i/>
          <w:iCs/>
          <w:rtl w:val="true"/>
        </w:rPr>
        <w:t>-</w:t>
      </w:r>
      <w:r>
        <w:rPr>
          <w:rFonts w:ascii="David" w:hAnsi="David"/>
          <w:i/>
          <w:i/>
          <w:iCs/>
          <w:rtl w:val="true"/>
        </w:rPr>
        <w:t>המשפט לא הסתפק ביסוד מיסודות העבירה אלא דרש</w:t>
      </w:r>
      <w:r>
        <w:rPr>
          <w:rFonts w:cs="David" w:ascii="David" w:hAnsi="David"/>
          <w:i/>
          <w:iCs/>
          <w:rtl w:val="true"/>
        </w:rPr>
        <w:t xml:space="preserve">, </w:t>
      </w:r>
      <w:r>
        <w:rPr>
          <w:rFonts w:ascii="David" w:hAnsi="David"/>
          <w:i/>
          <w:i/>
          <w:iCs/>
          <w:rtl w:val="true"/>
        </w:rPr>
        <w:t>בקובעו את התנאי</w:t>
      </w:r>
      <w:r>
        <w:rPr>
          <w:rFonts w:cs="David" w:ascii="David" w:hAnsi="David"/>
          <w:i/>
          <w:iCs/>
          <w:rtl w:val="true"/>
        </w:rPr>
        <w:t xml:space="preserve">, </w:t>
      </w:r>
      <w:r>
        <w:rPr>
          <w:rFonts w:ascii="David" w:hAnsi="David"/>
          <w:i/>
          <w:i/>
          <w:iCs/>
          <w:rtl w:val="true"/>
        </w:rPr>
        <w:t>קיומה של עבירה מוגמרת ומלאה של אלימות ולא בעלת אופי מילולי אלא פיסי ממש</w:t>
      </w:r>
      <w:r>
        <w:rPr>
          <w:rFonts w:cs="David" w:ascii="David" w:hAnsi="David"/>
          <w:i/>
          <w:iCs/>
          <w:rtl w:val="true"/>
        </w:rPr>
        <w:t xml:space="preserve">. </w:t>
      </w:r>
    </w:p>
    <w:p>
      <w:pPr>
        <w:pStyle w:val="Normal"/>
        <w:spacing w:lineRule="auto" w:line="360" w:before="240" w:after="0"/>
        <w:ind w:start="1100" w:end="567"/>
        <w:jc w:val="both"/>
        <w:rPr>
          <w:rFonts w:ascii="David" w:hAnsi="David" w:cs="David"/>
          <w:i/>
          <w:i/>
          <w:iCs/>
        </w:rPr>
      </w:pPr>
      <w:r>
        <w:rPr>
          <w:rFonts w:ascii="David" w:hAnsi="David"/>
          <w:i/>
          <w:i/>
          <w:iCs/>
          <w:rtl w:val="true"/>
        </w:rPr>
        <w:t>בנסיבות אלה</w:t>
      </w:r>
      <w:r>
        <w:rPr>
          <w:rFonts w:cs="David" w:ascii="David" w:hAnsi="David"/>
          <w:i/>
          <w:iCs/>
          <w:rtl w:val="true"/>
        </w:rPr>
        <w:t xml:space="preserve">, </w:t>
      </w:r>
      <w:r>
        <w:rPr>
          <w:rFonts w:ascii="David" w:hAnsi="David"/>
          <w:i/>
          <w:i/>
          <w:iCs/>
          <w:rtl w:val="true"/>
        </w:rPr>
        <w:t>דומה שלא יכול להיות חולק שבמקרה זה חלה הלכתו של בית</w:t>
      </w:r>
      <w:r>
        <w:rPr>
          <w:rFonts w:cs="David" w:ascii="David" w:hAnsi="David"/>
          <w:i/>
          <w:iCs/>
          <w:rtl w:val="true"/>
        </w:rPr>
        <w:t>-</w:t>
      </w:r>
      <w:r>
        <w:rPr>
          <w:rFonts w:ascii="David" w:hAnsi="David"/>
          <w:i/>
          <w:i/>
          <w:iCs/>
          <w:rtl w:val="true"/>
        </w:rPr>
        <w:t xml:space="preserve">המשפט העליון בעניין </w:t>
      </w:r>
      <w:hyperlink r:id="rId19">
        <w:r>
          <w:rPr>
            <w:rStyle w:val="Hyperlink"/>
            <w:rFonts w:ascii="David" w:hAnsi="David" w:cs="Times New Roman"/>
            <w:i/>
            <w:i/>
            <w:iCs/>
            <w:color w:val="0000FF"/>
            <w:u w:val="single"/>
            <w:rtl w:val="true"/>
          </w:rPr>
          <w:t>על</w:t>
        </w:r>
        <w:r>
          <w:rPr>
            <w:rStyle w:val="Hyperlink"/>
            <w:rFonts w:cs="Times New Roman" w:ascii="David" w:hAnsi="David"/>
            <w:i/>
            <w:i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Times New Roman"/>
            <w:i/>
            <w:i/>
            <w:iCs/>
            <w:color w:val="0000FF"/>
            <w:u w:val="single"/>
            <w:rtl w:val="true"/>
          </w:rPr>
          <w:t>ע</w:t>
        </w:r>
        <w:r>
          <w:rPr>
            <w:rStyle w:val="Hyperlink"/>
            <w:rFonts w:ascii="David" w:hAnsi="David" w:eastAsia="David"/>
            <w:i/>
            <w:i/>
            <w:i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 w:ascii="David" w:hAnsi="David"/>
            <w:i/>
            <w:iCs/>
            <w:color w:val="0000FF"/>
            <w:u w:val="single"/>
          </w:rPr>
          <w:t>5674/08</w:t>
        </w:r>
      </w:hyperlink>
      <w:r>
        <w:rPr>
          <w:rFonts w:cs="David" w:ascii="David" w:hAnsi="David"/>
          <w:i/>
          <w:iCs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אבני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הוועד הארצי של לשכת עורכי</w:t>
      </w:r>
      <w:r>
        <w:rPr>
          <w:rFonts w:cs="David" w:ascii="David" w:hAnsi="David"/>
          <w:i/>
          <w:iCs/>
          <w:rtl w:val="true"/>
        </w:rPr>
        <w:t>-</w:t>
      </w:r>
      <w:r>
        <w:rPr>
          <w:rFonts w:ascii="David" w:hAnsi="David"/>
          <w:i/>
          <w:i/>
          <w:iCs/>
          <w:rtl w:val="true"/>
        </w:rPr>
        <w:t xml:space="preserve">הדין </w:t>
      </w:r>
      <w:r>
        <w:rPr>
          <w:rFonts w:cs="David" w:ascii="David" w:hAnsi="David"/>
          <w:i/>
          <w:iCs/>
          <w:rtl w:val="true"/>
        </w:rPr>
        <w:t>[</w:t>
      </w:r>
      <w:r>
        <w:rPr>
          <w:rFonts w:ascii="David" w:hAnsi="David"/>
          <w:i/>
          <w:i/>
          <w:iCs/>
          <w:rtl w:val="true"/>
        </w:rPr>
        <w:t>פורסם בנבו</w:t>
      </w:r>
      <w:r>
        <w:rPr>
          <w:rFonts w:cs="David" w:ascii="David" w:hAnsi="David"/>
          <w:i/>
          <w:iCs/>
          <w:rtl w:val="true"/>
        </w:rPr>
        <w:t>] (</w:t>
      </w:r>
      <w:r>
        <w:rPr>
          <w:rFonts w:ascii="David" w:hAnsi="David"/>
          <w:i/>
          <w:i/>
          <w:iCs/>
          <w:rtl w:val="true"/>
        </w:rPr>
        <w:t xml:space="preserve">ניתן ביום </w:t>
      </w:r>
      <w:r>
        <w:rPr>
          <w:rFonts w:cs="David" w:ascii="David" w:hAnsi="David"/>
          <w:i/>
          <w:iCs/>
        </w:rPr>
        <w:t>11.11.09</w:t>
      </w:r>
      <w:r>
        <w:rPr>
          <w:rFonts w:cs="David" w:ascii="David" w:hAnsi="David"/>
          <w:i/>
          <w:iCs/>
          <w:rtl w:val="true"/>
        </w:rPr>
        <w:t xml:space="preserve">). </w:t>
      </w:r>
      <w:r>
        <w:rPr>
          <w:rFonts w:ascii="David" w:hAnsi="David"/>
          <w:i/>
          <w:i/>
          <w:iCs/>
          <w:rtl w:val="true"/>
        </w:rPr>
        <w:t>הלכה זו קובעת שמהותו של התנאי אמורה להיות מובנת לנאשם שהורשע בעת גזירת העונש על תנאי</w:t>
      </w:r>
      <w:r>
        <w:rPr>
          <w:rFonts w:cs="David" w:ascii="David" w:hAnsi="David"/>
          <w:i/>
          <w:iCs/>
          <w:rtl w:val="true"/>
        </w:rPr>
        <w:t>. "</w:t>
      </w:r>
      <w:r>
        <w:rPr>
          <w:rFonts w:ascii="David" w:hAnsi="David"/>
          <w:i/>
          <w:i/>
          <w:iCs/>
          <w:rtl w:val="true"/>
        </w:rPr>
        <w:t>מובנה – משמעה על דרך הפשט ולא על דרך הפלפול</w:t>
      </w:r>
      <w:r>
        <w:rPr>
          <w:rFonts w:cs="David" w:ascii="David" w:hAnsi="David"/>
          <w:i/>
          <w:iCs/>
          <w:rtl w:val="true"/>
        </w:rPr>
        <w:t xml:space="preserve">". </w:t>
      </w:r>
      <w:r>
        <w:rPr>
          <w:rFonts w:ascii="David" w:hAnsi="David"/>
          <w:i/>
          <w:i/>
          <w:iCs/>
          <w:rtl w:val="true"/>
        </w:rPr>
        <w:t>הלכה זו אומצה ב</w:t>
      </w:r>
      <w:hyperlink r:id="rId20">
        <w:r>
          <w:rPr>
            <w:rStyle w:val="Hyperlink"/>
            <w:rFonts w:ascii="David" w:hAnsi="David" w:cs="Times New Roman"/>
            <w:i/>
            <w:i/>
            <w:iCs/>
            <w:color w:val="0000FF"/>
            <w:u w:val="single"/>
            <w:rtl w:val="true"/>
          </w:rPr>
          <w:t>רע</w:t>
        </w:r>
        <w:r>
          <w:rPr>
            <w:rStyle w:val="Hyperlink"/>
            <w:rFonts w:cs="Times New Roman" w:ascii="David" w:hAnsi="David"/>
            <w:i/>
            <w:i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Times New Roman"/>
            <w:i/>
            <w:i/>
            <w:iCs/>
            <w:color w:val="0000FF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i/>
            <w:i/>
            <w:i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 w:ascii="David" w:hAnsi="David"/>
            <w:i/>
            <w:iCs/>
            <w:color w:val="0000FF"/>
            <w:u w:val="single"/>
          </w:rPr>
          <w:t>523/13</w:t>
        </w:r>
      </w:hyperlink>
      <w:r>
        <w:rPr>
          <w:rFonts w:cs="David" w:ascii="David" w:hAnsi="David"/>
          <w:i/>
          <w:iCs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דזנשווילי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 xml:space="preserve">מדינת ישראל </w:t>
      </w:r>
      <w:r>
        <w:rPr>
          <w:rFonts w:cs="David" w:ascii="David" w:hAnsi="David"/>
          <w:i/>
          <w:iCs/>
          <w:rtl w:val="true"/>
        </w:rPr>
        <w:t>[</w:t>
      </w:r>
      <w:r>
        <w:rPr>
          <w:rFonts w:ascii="David" w:hAnsi="David"/>
          <w:i/>
          <w:i/>
          <w:iCs/>
          <w:rtl w:val="true"/>
        </w:rPr>
        <w:t>פורסם בנבו</w:t>
      </w:r>
      <w:r>
        <w:rPr>
          <w:rFonts w:cs="David" w:ascii="David" w:hAnsi="David"/>
          <w:i/>
          <w:iCs/>
          <w:rtl w:val="true"/>
        </w:rPr>
        <w:t>] (</w:t>
      </w:r>
      <w:r>
        <w:rPr>
          <w:rFonts w:ascii="David" w:hAnsi="David"/>
          <w:i/>
          <w:i/>
          <w:iCs/>
          <w:rtl w:val="true"/>
        </w:rPr>
        <w:t xml:space="preserve">ניתן ביום </w:t>
      </w:r>
      <w:r>
        <w:rPr>
          <w:rFonts w:cs="David" w:ascii="David" w:hAnsi="David"/>
          <w:i/>
          <w:iCs/>
        </w:rPr>
        <w:t>25.8.15</w:t>
      </w:r>
      <w:r>
        <w:rPr>
          <w:rFonts w:cs="David" w:ascii="David" w:hAnsi="David"/>
          <w:i/>
          <w:iCs/>
          <w:rtl w:val="true"/>
        </w:rPr>
        <w:t xml:space="preserve">). </w:t>
      </w:r>
    </w:p>
    <w:p>
      <w:pPr>
        <w:pStyle w:val="ListParagraph"/>
        <w:shd w:fill="FFFFFF" w:val="clear"/>
        <w:spacing w:lineRule="auto" w:line="360" w:before="240" w:after="0"/>
        <w:ind w:end="709"/>
        <w:contextualSpacing/>
        <w:jc w:val="both"/>
        <w:rPr>
          <w:rFonts w:ascii="David" w:hAnsi="David" w:cs="David"/>
          <w:i/>
          <w:i/>
          <w:iCs/>
          <w:sz w:val="6"/>
          <w:szCs w:val="6"/>
        </w:rPr>
      </w:pPr>
      <w:r>
        <w:rPr>
          <w:rFonts w:cs="David" w:ascii="David" w:hAnsi="David"/>
          <w:i/>
          <w:iCs/>
          <w:sz w:val="6"/>
          <w:szCs w:val="6"/>
          <w:rtl w:val="true"/>
        </w:rPr>
      </w:r>
    </w:p>
    <w:p>
      <w:pPr>
        <w:pStyle w:val="Ruller4"/>
        <w:ind w:start="720"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בת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נצרת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cs="David" w:ascii="David" w:hAnsi="David"/>
          <w:b/>
          <w:bCs/>
          <w:sz w:val="24"/>
          <w:szCs w:val="24"/>
        </w:rPr>
        <w:t>1095/00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פלוני ואח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>'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הרכב בראשות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השופטת 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אברמוביץ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:"</w:t>
      </w:r>
      <w:r>
        <w:rPr>
          <w:rFonts w:ascii="David" w:hAnsi="David" w:cs="David"/>
          <w:sz w:val="24"/>
          <w:sz w:val="24"/>
          <w:szCs w:val="24"/>
          <w:rtl w:val="true"/>
        </w:rPr>
        <w:t>פלוני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נדרש לשאלה האם עבירות הקשורות בנשק הינן עבירות אלימות בהקשר של הפעלת הסייג הקבוע </w:t>
      </w:r>
      <w:hyperlink r:id="rId21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לסעיף  </w:t>
        </w:r>
        <w:r>
          <w:rPr>
            <w:rStyle w:val="Hyperlink"/>
            <w:rFonts w:cs="David" w:ascii="David" w:hAnsi="David"/>
            <w:sz w:val="24"/>
            <w:szCs w:val="24"/>
          </w:rPr>
          <w:t>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הראיות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שעניינו העדת בן זוג לחובת בן זוגו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ונקבע כי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Ruller4"/>
        <w:ind w:start="72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tabs>
          <w:tab w:val="clear" w:pos="720"/>
          <w:tab w:val="left" w:pos="288" w:leader="none"/>
          <w:tab w:val="left" w:pos="1100" w:leader="none"/>
          <w:tab w:val="left" w:pos="1296" w:leader="none"/>
        </w:tabs>
        <w:autoSpaceDE w:val="false"/>
        <w:spacing w:lineRule="auto" w:line="360" w:before="0" w:after="80"/>
        <w:ind w:start="1100" w:end="709"/>
        <w:jc w:val="both"/>
        <w:rPr>
          <w:rFonts w:ascii="David" w:hAnsi="David" w:cs="David"/>
          <w:i/>
          <w:i/>
          <w:iCs/>
          <w:sz w:val="22"/>
          <w:szCs w:val="22"/>
        </w:rPr>
      </w:pPr>
      <w:r>
        <w:rPr>
          <w:rFonts w:cs="David" w:ascii="David" w:hAnsi="David"/>
          <w:i/>
          <w:iCs/>
          <w:sz w:val="22"/>
          <w:szCs w:val="22"/>
          <w:rtl w:val="true"/>
        </w:rPr>
        <w:t>"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בעבירה בנשק הקשר בין מחזיק הנשק ובין מי שעלול לבצע בו מעשה אלימות רחוק יותר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.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ובכל זאת מצא המחוקק לנכון לציין את האיום ואת הניסיון במפורש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.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 xml:space="preserve">איני רואה במה עבירה בנשק היא עבירת אלימות </w:t>
      </w:r>
      <w:r>
        <w:rPr>
          <w:rFonts w:cs="David" w:ascii="David" w:hAnsi="David"/>
          <w:i/>
          <w:iCs/>
          <w:sz w:val="22"/>
          <w:szCs w:val="22"/>
          <w:rtl w:val="true"/>
        </w:rPr>
        <w:t>"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על פי טיבה ומיונה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"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יותר מהעבירות שפורטו לעיל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.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גם איני רואה כי עבירה בנשק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,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בתור שכזו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,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נוגעת לחיי המשפחה או להגנת התא המשפחתי</w:t>
      </w:r>
      <w:r>
        <w:rPr>
          <w:rFonts w:cs="David" w:ascii="David" w:hAnsi="David"/>
          <w:i/>
          <w:iCs/>
          <w:sz w:val="22"/>
          <w:szCs w:val="22"/>
          <w:rtl w:val="true"/>
        </w:rPr>
        <w:t>.</w:t>
      </w:r>
    </w:p>
    <w:p>
      <w:pPr>
        <w:pStyle w:val="Normal"/>
        <w:tabs>
          <w:tab w:val="clear" w:pos="720"/>
          <w:tab w:val="left" w:pos="1100" w:leader="none"/>
          <w:tab w:val="left" w:pos="1296" w:leader="none"/>
        </w:tabs>
        <w:autoSpaceDE w:val="false"/>
        <w:spacing w:lineRule="auto" w:line="360" w:before="0" w:after="80"/>
        <w:ind w:start="1100" w:end="709"/>
        <w:jc w:val="both"/>
        <w:rPr/>
      </w:pPr>
      <w:r>
        <w:rPr>
          <w:rFonts w:cs="David" w:ascii="David" w:hAnsi="David"/>
          <w:i/>
          <w:iCs/>
          <w:sz w:val="22"/>
          <w:szCs w:val="22"/>
          <w:rtl w:val="true"/>
        </w:rPr>
        <w:t>…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 xml:space="preserve">אנו מקבלים את טענת הסניגור כי לשיטת התובעת אין סוף לעבירות שתיחשבנה </w:t>
      </w:r>
      <w:r>
        <w:rPr>
          <w:rFonts w:cs="David" w:ascii="David" w:hAnsi="David"/>
          <w:i/>
          <w:iCs/>
          <w:sz w:val="22"/>
          <w:szCs w:val="22"/>
          <w:rtl w:val="true"/>
        </w:rPr>
        <w:t>"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עבירות אלימות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"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לצורך זה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.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 xml:space="preserve">איננו רואים סיבה לנטוש את הפרשנות הותיקה למונח </w:t>
      </w:r>
      <w:r>
        <w:rPr>
          <w:rFonts w:cs="David" w:ascii="David" w:hAnsi="David"/>
          <w:i/>
          <w:iCs/>
          <w:sz w:val="22"/>
          <w:szCs w:val="22"/>
          <w:rtl w:val="true"/>
        </w:rPr>
        <w:t>"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אלימות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"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שבאה לידי ביטוי בדברים הבאים</w:t>
      </w:r>
      <w:r>
        <w:rPr>
          <w:rFonts w:cs="David" w:ascii="David" w:hAnsi="David"/>
          <w:i/>
          <w:iCs/>
          <w:sz w:val="22"/>
          <w:szCs w:val="22"/>
          <w:rtl w:val="true"/>
        </w:rPr>
        <w:t>:</w:t>
      </w:r>
    </w:p>
    <w:p>
      <w:pPr>
        <w:pStyle w:val="Normal"/>
        <w:tabs>
          <w:tab w:val="clear" w:pos="720"/>
          <w:tab w:val="left" w:pos="1100" w:leader="none"/>
          <w:tab w:val="left" w:pos="1296" w:leader="none"/>
        </w:tabs>
        <w:autoSpaceDE w:val="false"/>
        <w:spacing w:lineRule="auto" w:line="360" w:before="0" w:after="80"/>
        <w:ind w:start="1100" w:end="709"/>
        <w:jc w:val="both"/>
        <w:rPr>
          <w:rFonts w:ascii="David" w:hAnsi="David" w:cs="David"/>
          <w:i/>
          <w:i/>
          <w:iCs/>
          <w:sz w:val="22"/>
          <w:szCs w:val="22"/>
        </w:rPr>
      </w:pPr>
      <w:r>
        <w:rPr>
          <w:rFonts w:cs="David" w:ascii="David" w:hAnsi="David"/>
          <w:i/>
          <w:iCs/>
          <w:sz w:val="22"/>
          <w:szCs w:val="22"/>
          <w:rtl w:val="true"/>
        </w:rPr>
        <w:t>"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בלאו הכי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,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 xml:space="preserve">מובנו של מעשה אלימות 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-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 xml:space="preserve">אף אם נתעלם ממובנה של </w:t>
      </w:r>
      <w:r>
        <w:rPr>
          <w:rFonts w:cs="David" w:ascii="David" w:hAnsi="David"/>
          <w:i/>
          <w:iCs/>
          <w:sz w:val="22"/>
          <w:szCs w:val="22"/>
          <w:rtl w:val="true"/>
        </w:rPr>
        <w:t>"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אלימות ממשית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"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 xml:space="preserve">ומהפסיקה שפירשה מלים אלו 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-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הוא מעשה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,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שיש עמו שימוש בכוח פיסי במידה כלשהי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.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 xml:space="preserve">משמעותה הפשוטה והרגילה של </w:t>
      </w:r>
      <w:r>
        <w:rPr>
          <w:rFonts w:cs="David" w:ascii="David" w:hAnsi="David"/>
          <w:i/>
          <w:iCs/>
          <w:sz w:val="22"/>
          <w:szCs w:val="22"/>
          <w:rtl w:val="true"/>
        </w:rPr>
        <w:t>"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אלימות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"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בלשון בני אדם טומנת בחובה שימוש במידה כלשהי של כוח פיסי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,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וכך אמנם פירשו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 xml:space="preserve">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בתי המשפט את מובנה של מלה זו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.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כך פירש זאת בית</w:t>
      </w:r>
      <w:r>
        <w:rPr>
          <w:rFonts w:cs="David" w:ascii="David" w:hAnsi="David"/>
          <w:i/>
          <w:iCs/>
          <w:sz w:val="22"/>
          <w:szCs w:val="22"/>
          <w:rtl w:val="true"/>
        </w:rPr>
        <w:t>-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משפט זה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,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בבואו לפרש את מובנה של המלה אלימות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 xml:space="preserve"> </w:t>
      </w:r>
      <w:r>
        <w:rPr>
          <w:rFonts w:cs="David" w:ascii="David" w:hAnsi="David"/>
          <w:i/>
          <w:iCs/>
          <w:sz w:val="22"/>
          <w:szCs w:val="22"/>
          <w:rtl w:val="true"/>
        </w:rPr>
        <w:t>(</w:t>
      </w:r>
      <w:r>
        <w:rPr>
          <w:rFonts w:cs="David" w:ascii="David" w:hAnsi="David"/>
          <w:i/>
          <w:iCs/>
          <w:sz w:val="22"/>
          <w:szCs w:val="22"/>
        </w:rPr>
        <w:t>violence</w:t>
      </w:r>
      <w:r>
        <w:rPr>
          <w:rFonts w:cs="David" w:ascii="David" w:hAnsi="David"/>
          <w:i/>
          <w:iCs/>
          <w:sz w:val="22"/>
          <w:szCs w:val="22"/>
          <w:rtl w:val="true"/>
        </w:rPr>
        <w:t>)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 xml:space="preserve">בסעיף </w:t>
      </w:r>
      <w:r>
        <w:rPr>
          <w:rFonts w:cs="David" w:ascii="David" w:hAnsi="David"/>
          <w:i/>
          <w:iCs/>
          <w:sz w:val="22"/>
          <w:szCs w:val="22"/>
        </w:rPr>
        <w:t>5</w:t>
      </w:r>
      <w:r>
        <w:rPr>
          <w:rFonts w:cs="David" w:ascii="David" w:hAnsi="David"/>
          <w:i/>
          <w:iCs/>
          <w:sz w:val="22"/>
          <w:szCs w:val="22"/>
          <w:rtl w:val="true"/>
        </w:rPr>
        <w:t>[</w:t>
      </w:r>
      <w:r>
        <w:rPr>
          <w:rFonts w:cs="David" w:ascii="David" w:hAnsi="David"/>
          <w:i/>
          <w:iCs/>
          <w:sz w:val="22"/>
          <w:szCs w:val="22"/>
        </w:rPr>
        <w:t>1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]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לפקודת העדות ראה</w:t>
      </w:r>
      <w:r>
        <w:rPr>
          <w:rFonts w:cs="David" w:ascii="David" w:hAnsi="David"/>
          <w:i/>
          <w:iCs/>
          <w:sz w:val="22"/>
          <w:szCs w:val="22"/>
          <w:rtl w:val="true"/>
        </w:rPr>
        <w:t>: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 xml:space="preserve">ו </w:t>
      </w:r>
      <w:hyperlink r:id="rId23">
        <w:r>
          <w:rPr>
            <w:rStyle w:val="Hyperlink"/>
            <w:rFonts w:ascii="David" w:hAnsi="David"/>
            <w:i/>
            <w:i/>
            <w:i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i/>
            <w:i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/>
            <w:i/>
            <w:i/>
            <w:i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i/>
            <w:iCs/>
            <w:color w:val="0000FF"/>
            <w:sz w:val="22"/>
            <w:szCs w:val="22"/>
            <w:u w:val="single"/>
          </w:rPr>
          <w:t>466/62</w:t>
        </w:r>
      </w:hyperlink>
      <w:r>
        <w:rPr>
          <w:rFonts w:cs="David" w:ascii="David" w:hAnsi="David"/>
          <w:i/>
          <w:iCs/>
          <w:sz w:val="22"/>
          <w:szCs w:val="22"/>
          <w:rtl w:val="true"/>
        </w:rPr>
        <w:t xml:space="preserve">);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 xml:space="preserve">וכן כשנזקק לפירושה של המלה </w:t>
      </w:r>
      <w:r>
        <w:rPr>
          <w:rFonts w:cs="David" w:ascii="David" w:hAnsi="David"/>
          <w:i/>
          <w:iCs/>
          <w:sz w:val="22"/>
          <w:szCs w:val="22"/>
          <w:rtl w:val="true"/>
        </w:rPr>
        <w:t>"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אלימות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"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 xml:space="preserve">בסעיף </w:t>
      </w:r>
      <w:r>
        <w:rPr>
          <w:rFonts w:cs="David" w:ascii="David" w:hAnsi="David"/>
          <w:i/>
          <w:iCs/>
          <w:sz w:val="22"/>
          <w:szCs w:val="22"/>
        </w:rPr>
        <w:t>5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ל</w:t>
      </w:r>
      <w:hyperlink r:id="rId24">
        <w:r>
          <w:rPr>
            <w:rStyle w:val="Hyperlink"/>
            <w:rFonts w:ascii="David" w:hAnsi="David"/>
            <w:i/>
            <w:i/>
            <w:iCs/>
            <w:color w:val="0000FF"/>
            <w:sz w:val="22"/>
            <w:sz w:val="22"/>
            <w:szCs w:val="22"/>
            <w:u w:val="single"/>
            <w:rtl w:val="true"/>
          </w:rPr>
          <w:t>פקודת הראיות</w:t>
        </w:r>
      </w:hyperlink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 xml:space="preserve"> </w:t>
      </w:r>
      <w:r>
        <w:rPr>
          <w:rFonts w:cs="David" w:ascii="David" w:hAnsi="David"/>
          <w:i/>
          <w:iCs/>
          <w:sz w:val="22"/>
          <w:szCs w:val="22"/>
          <w:rtl w:val="true"/>
        </w:rPr>
        <w:t>[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נוסח חדש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]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תשל</w:t>
      </w:r>
      <w:r>
        <w:rPr>
          <w:rFonts w:cs="David" w:ascii="David" w:hAnsi="David"/>
          <w:i/>
          <w:iCs/>
          <w:sz w:val="22"/>
          <w:szCs w:val="22"/>
          <w:rtl w:val="true"/>
        </w:rPr>
        <w:t>"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א</w:t>
      </w:r>
      <w:r>
        <w:rPr>
          <w:rFonts w:cs="David" w:ascii="David" w:hAnsi="David"/>
          <w:i/>
          <w:iCs/>
          <w:sz w:val="22"/>
          <w:szCs w:val="22"/>
          <w:rtl w:val="true"/>
        </w:rPr>
        <w:t>-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 .</w:t>
      </w:r>
      <w:r>
        <w:rPr>
          <w:rFonts w:cs="David" w:ascii="David" w:hAnsi="David"/>
          <w:i/>
          <w:iCs/>
          <w:sz w:val="22"/>
          <w:szCs w:val="22"/>
        </w:rPr>
        <w:t>1971</w:t>
      </w:r>
      <w:r>
        <w:rPr>
          <w:rFonts w:cs="David" w:ascii="David" w:hAnsi="David"/>
          <w:i/>
          <w:iCs/>
          <w:sz w:val="22"/>
          <w:szCs w:val="22"/>
          <w:rtl w:val="true"/>
        </w:rPr>
        <w:t>(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ראה ע</w:t>
      </w:r>
      <w:r>
        <w:rPr>
          <w:rFonts w:cs="David" w:ascii="David" w:hAnsi="David"/>
          <w:i/>
          <w:iCs/>
          <w:sz w:val="22"/>
          <w:szCs w:val="22"/>
          <w:rtl w:val="true"/>
        </w:rPr>
        <w:t>"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 xml:space="preserve">פ </w:t>
      </w:r>
      <w:r>
        <w:rPr>
          <w:rFonts w:cs="David" w:ascii="David" w:hAnsi="David"/>
          <w:i/>
          <w:iCs/>
          <w:sz w:val="22"/>
          <w:szCs w:val="22"/>
        </w:rPr>
        <w:t>103/80</w:t>
      </w:r>
      <w:r>
        <w:rPr>
          <w:rFonts w:cs="David" w:ascii="David" w:hAnsi="David"/>
          <w:i/>
          <w:iCs/>
          <w:sz w:val="22"/>
          <w:szCs w:val="22"/>
          <w:rtl w:val="true"/>
        </w:rPr>
        <w:t>) [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לא פורסם</w:t>
      </w:r>
      <w:r>
        <w:rPr>
          <w:rFonts w:cs="David" w:ascii="David" w:hAnsi="David"/>
          <w:i/>
          <w:iCs/>
          <w:sz w:val="22"/>
          <w:szCs w:val="22"/>
          <w:rtl w:val="true"/>
        </w:rPr>
        <w:t>]</w:t>
      </w:r>
      <w:r>
        <w:rPr>
          <w:rFonts w:cs="David" w:ascii="David" w:hAnsi="David"/>
          <w:i/>
          <w:iCs/>
          <w:sz w:val="22"/>
          <w:szCs w:val="22"/>
          <w:rtl w:val="true"/>
        </w:rPr>
        <w:t>.</w:t>
      </w:r>
      <w:r>
        <w:rPr>
          <w:rFonts w:cs="David" w:ascii="David" w:hAnsi="David"/>
          <w:i/>
          <w:iCs/>
          <w:sz w:val="22"/>
          <w:szCs w:val="22"/>
          <w:rtl w:val="true"/>
        </w:rPr>
        <w:t>[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השופט אור ב</w:t>
      </w:r>
      <w:hyperlink r:id="rId25">
        <w:r>
          <w:rPr>
            <w:rStyle w:val="Hyperlink"/>
            <w:rFonts w:ascii="David" w:hAnsi="David"/>
            <w:i/>
            <w:i/>
            <w:i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i/>
            <w:i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/>
            <w:i/>
            <w:i/>
            <w:i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i/>
            <w:iCs/>
            <w:color w:val="0000FF"/>
            <w:sz w:val="22"/>
            <w:szCs w:val="22"/>
            <w:u w:val="single"/>
          </w:rPr>
          <w:t>524/82</w:t>
        </w:r>
      </w:hyperlink>
      <w:r>
        <w:rPr>
          <w:rFonts w:cs="David" w:ascii="David" w:hAnsi="David"/>
          <w:i/>
          <w:iCs/>
          <w:sz w:val="22"/>
          <w:szCs w:val="22"/>
          <w:rtl w:val="true"/>
        </w:rPr>
        <w:t xml:space="preserve"> 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ודרד נגד מדינת ישראל פ</w:t>
      </w:r>
      <w:r>
        <w:rPr>
          <w:rFonts w:cs="David" w:ascii="David" w:hAnsi="David"/>
          <w:i/>
          <w:iCs/>
          <w:sz w:val="22"/>
          <w:szCs w:val="22"/>
          <w:rtl w:val="true"/>
        </w:rPr>
        <w:t>"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ד לז</w:t>
      </w:r>
      <w:r>
        <w:rPr>
          <w:rFonts w:cs="David" w:ascii="David" w:hAnsi="David"/>
          <w:i/>
          <w:iCs/>
          <w:sz w:val="22"/>
          <w:szCs w:val="22"/>
          <w:rtl w:val="true"/>
        </w:rPr>
        <w:t>[</w:t>
      </w:r>
      <w:r>
        <w:rPr>
          <w:rFonts w:cs="David" w:ascii="David" w:hAnsi="David"/>
          <w:i/>
          <w:iCs/>
          <w:sz w:val="22"/>
          <w:szCs w:val="22"/>
        </w:rPr>
        <w:t>2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] </w:t>
      </w:r>
      <w:r>
        <w:rPr>
          <w:rFonts w:cs="David" w:ascii="David" w:hAnsi="David"/>
          <w:i/>
          <w:iCs/>
          <w:sz w:val="22"/>
          <w:szCs w:val="22"/>
        </w:rPr>
        <w:t>551</w:t>
      </w:r>
      <w:r>
        <w:rPr>
          <w:rFonts w:ascii="David" w:hAnsi="David"/>
          <w:i/>
          <w:i/>
          <w:iCs/>
          <w:sz w:val="22"/>
          <w:sz w:val="22"/>
          <w:szCs w:val="22"/>
          <w:rtl w:val="true"/>
        </w:rPr>
        <w:t>בעמ</w:t>
      </w:r>
      <w:r>
        <w:rPr>
          <w:rFonts w:cs="David" w:ascii="David" w:hAnsi="David"/>
          <w:i/>
          <w:iCs/>
          <w:sz w:val="22"/>
          <w:szCs w:val="22"/>
          <w:rtl w:val="true"/>
        </w:rPr>
        <w:t xml:space="preserve">' </w:t>
      </w:r>
      <w:r>
        <w:rPr>
          <w:rFonts w:cs="David" w:ascii="David" w:hAnsi="David"/>
          <w:i/>
          <w:iCs/>
          <w:sz w:val="22"/>
          <w:szCs w:val="22"/>
        </w:rPr>
        <w:t>559</w:t>
      </w:r>
      <w:r>
        <w:rPr>
          <w:rFonts w:cs="David" w:ascii="David" w:hAnsi="David"/>
          <w:i/>
          <w:iCs/>
          <w:sz w:val="22"/>
          <w:szCs w:val="22"/>
          <w:rtl w:val="true"/>
        </w:rPr>
        <w:t>]</w:t>
      </w:r>
      <w:r>
        <w:rPr>
          <w:rFonts w:cs="David" w:ascii="David" w:hAnsi="David"/>
          <w:i/>
          <w:iCs/>
          <w:sz w:val="22"/>
          <w:szCs w:val="22"/>
          <w:rtl w:val="true"/>
        </w:rPr>
        <w:t>".</w:t>
      </w:r>
    </w:p>
    <w:p>
      <w:pPr>
        <w:pStyle w:val="Ruller4"/>
        <w:tabs>
          <w:tab w:val="clear" w:pos="720"/>
          <w:tab w:val="left" w:pos="1100" w:leader="none"/>
        </w:tabs>
        <w:ind w:firstLine="380" w:start="283" w:end="709"/>
        <w:jc w:val="both"/>
        <w:rPr>
          <w:rFonts w:ascii="David" w:hAnsi="David" w:cs="David"/>
          <w:i/>
          <w:i/>
          <w:iCs/>
          <w:sz w:val="8"/>
          <w:szCs w:val="8"/>
        </w:rPr>
      </w:pPr>
      <w:r>
        <w:rPr>
          <w:rFonts w:cs="David" w:ascii="David" w:hAnsi="David"/>
          <w:i/>
          <w:iCs/>
          <w:sz w:val="8"/>
          <w:szCs w:val="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תומכת עמדתה בנימוקיו של בית המשפט</w:t>
      </w:r>
      <w:r>
        <w:rPr>
          <w:rFonts w:ascii="David" w:hAnsi="David"/>
          <w:rtl w:val="true"/>
        </w:rPr>
        <w:t xml:space="preserve"> הנכבד 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</w:t>
      </w:r>
      <w:hyperlink r:id="rId2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54607-07-19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יעקוב ג</w:t>
      </w:r>
      <w:r>
        <w:rPr>
          <w:rFonts w:cs="David" w:ascii="David" w:hAnsi="David"/>
          <w:b/>
          <w:bCs/>
          <w:u w:val="single"/>
          <w:rtl w:val="true"/>
        </w:rPr>
        <w:t>'</w:t>
      </w:r>
      <w:r>
        <w:rPr>
          <w:rFonts w:ascii="David" w:hAnsi="David"/>
          <w:b/>
          <w:b/>
          <w:bCs/>
          <w:u w:val="single"/>
          <w:rtl w:val="true"/>
        </w:rPr>
        <w:t>בור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בית המשפט המחוזי בבאר שבע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יובל ליברדו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בור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שם הנאשם הורשע בהחזקת ונשיאת נשק מסוג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ומחסנית ריקה עטופים במגבת בתוך שק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ת בתוך מזרון מגולגל במושב האחורי של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המאסר המותנה נוסח במילים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כל עבירת אלימות</w:t>
      </w:r>
      <w:r>
        <w:rPr>
          <w:rFonts w:cs="David" w:ascii="David" w:hAnsi="David"/>
          <w:rtl w:val="true"/>
        </w:rPr>
        <w:t xml:space="preserve">". 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בית המשפט שם</w:t>
      </w:r>
      <w:r>
        <w:rPr>
          <w:rFonts w:ascii="David" w:hAnsi="David"/>
          <w:rtl w:val="true"/>
        </w:rPr>
        <w:t xml:space="preserve"> סבר </w:t>
      </w:r>
      <w:r>
        <w:rPr>
          <w:rFonts w:ascii="David" w:hAnsi="David"/>
          <w:rtl w:val="true"/>
        </w:rPr>
        <w:t xml:space="preserve"> כי למונח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אלימות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יש לתת פרשנות מרחיבה הכוללת גם עבירה של החזקת ונשיאת נשק מהטעם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שמדובר במבחן מהותי ולא טכני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קרי האם העבירה המאוחרת מגשימה באופן מהותי את האיסור שבעבירת התנאי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בית המשפט הדגיש כי נשק הוא חפץ אלים בעל יסוד מובנה של אלימות שמסוגל לגרום למותו של אדם ומי שמחזיק בו מסכן את זולתו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כדוגמא הפנה ל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308/06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</w:t>
      </w:r>
      <w:r>
        <w:rPr>
          <w:rFonts w:cs="David" w:ascii="David" w:hAnsi="David"/>
          <w:u w:val="single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ישראל נ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סבן</w:t>
      </w:r>
      <w:r>
        <w:rPr>
          <w:rFonts w:ascii="David" w:hAnsi="David"/>
          <w:rtl w:val="true"/>
        </w:rPr>
        <w:t xml:space="preserve"> שם עבירת התנאי הוגדרה כעבירת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והעבירה המפעילה הייתה עבירה של סיכון חיי אדם בנתיב תחבורה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שנקבע כי אדם המסכן במזיד את בטיחותו ושלומו של המשתמש בנתיב תחבורה נוהג התנהגות אלימה כלפיו אגב השימוש ברכב ובכך מבצע עבירת אלימות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הפנה ל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1894/14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צ</w:t>
      </w:r>
      <w:r>
        <w:rPr>
          <w:rFonts w:cs="David" w:ascii="David" w:hAnsi="David"/>
          <w:u w:val="single"/>
          <w:rtl w:val="true"/>
        </w:rPr>
        <w:t>'</w:t>
      </w:r>
      <w:r>
        <w:rPr>
          <w:rFonts w:ascii="David" w:hAnsi="David"/>
          <w:u w:val="single"/>
          <w:rtl w:val="true"/>
        </w:rPr>
        <w:t>אקול נ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מ</w:t>
      </w:r>
      <w:r>
        <w:rPr>
          <w:rFonts w:cs="David" w:ascii="David" w:hAnsi="David"/>
          <w:u w:val="single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ישראל</w:t>
      </w:r>
      <w:r>
        <w:rPr>
          <w:rFonts w:ascii="David" w:hAnsi="David"/>
          <w:rtl w:val="true"/>
        </w:rPr>
        <w:t xml:space="preserve"> שם נקבע כי עבירה של נהיגה בשכרות שגרמה למוות ולחבלה מפעילה עבירת תנאי שעניינו עבירות אלימות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נאמר בעניי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בור כי לאותה התוצאה ניתן להגיע לא רק באמצעות המבחן המהותי אלא גם באמצעות מבחן הרציונל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קרי בחינת הערכים המוגנים הקשורים בשלמות 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נפשו ובטחונו של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עליהם בית  המשפט ביקש להגן באמצעות הטלת המאסר המותנה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עמדתי זהה לזו של בתי המשפט המחוזיים בחיפה ובנצרת מהטעמים שפורטו שם </w:t>
      </w:r>
      <w:r>
        <w:rPr>
          <w:rFonts w:cs="David" w:ascii="David" w:hAnsi="David"/>
          <w:rtl w:val="true"/>
        </w:rPr>
        <w:t xml:space="preserve">(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עניין בויראת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מערוף ופלוני כנ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עמדתו של</w:t>
      </w:r>
      <w:r>
        <w:rPr>
          <w:rFonts w:ascii="David" w:hAnsi="David"/>
          <w:rtl w:val="true"/>
        </w:rPr>
        <w:t xml:space="preserve">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בית המשפט בבאר שבע בעניין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בור יש בה כדי להוות הרחבה ניכרת של המושג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אלימות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באופן שמבחינה מעשית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ולצורך בחינת תחולת התנאי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מתקיימת כל הבחנה  בין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עבירת אלימות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לעבירה שיש בה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יסוד של אלימות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מדובר בהבחנה מהותית הנוגעת למרכיבי ויסודות העבירה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ובהתאם גם להיקף העבירות הנוספות החוסות תחתיה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בתי המשפט השונים מבחינים היטב בין נוסח אחד למשנהו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ועושים בו שימוש בהתאם למטרת התנאי המוטל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ברצותם עושים שימוש במילים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עבירה שיש בה יסוד של אלימות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ובכך מרחיבים באופן משמעותי את תחולת התנאי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וברצותם מצמצמים את תחולתו בציינם עבירה או סוג עבירות מוגמרות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לא ניתן לטעמי להקיש מהדוגמאות אותן הביא בית המשפט הנכבד בעניין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בור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עבירות של סיכון חיי אדם בנתיב תחבורה  ונהיגה בשכרות שהובילה למותו של אדם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מהטעם שמדובר בעבירות אלימות מובהקות ומוגמרות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עבירה 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בעלת פוטנציאל לאלימות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אינה דומה לנהג המסכן בפועל את  הציבור בנהיגתו הפרועה וגורם לנהגים אחרים לסטות ממסלולם או לתאונה עם נפגעים </w:t>
      </w:r>
      <w:r>
        <w:rPr>
          <w:rFonts w:cs="David" w:ascii="David" w:hAnsi="David"/>
          <w:rtl w:val="true"/>
        </w:rPr>
        <w:t>(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308/06</w:t>
        </w:r>
      </w:hyperlink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ואף אינה דומה לעניינו של מי שנהג בשכרות וגרם למותו של אדם </w:t>
      </w:r>
      <w:r>
        <w:rPr>
          <w:rFonts w:cs="David" w:ascii="David" w:hAnsi="David"/>
          <w:rtl w:val="true"/>
        </w:rPr>
        <w:t>(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1894/14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מדובר בעבירות אלימות מוגמרות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להבדיל מעבירה של החזקה  או נשיאת נשק שיש בה אמנם יסוד של אלימות </w:t>
      </w:r>
      <w:r>
        <w:rPr>
          <w:rFonts w:ascii="David" w:hAnsi="David"/>
          <w:rtl w:val="true"/>
        </w:rPr>
        <w:t>ללא כל מרכיב תוצאתי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כך גם אינני סבור כי די בהתקיימותו של פוטנציאל לפגיעה כפי עמדת בית המשפט בעניין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לקיים את התנאי שעניינו עבירת אלימות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פוטנציאל לפגיעה מתקיים במגוון רב ורחב של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על מנת להגדירן כעבירת אלימות יש צורך בהתקיימות רכיב נוסף שעניינו התגבשות הפוטנציאל הטמון בעבירה לכדי פגיעה בפועל או איום בפגיעה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באופן שהתנהגות הנאשם הביאה בפועל </w:t>
      </w:r>
      <w:r>
        <w:rPr>
          <w:rFonts w:ascii="David" w:hAnsi="David"/>
          <w:u w:val="single"/>
          <w:rtl w:val="true"/>
        </w:rPr>
        <w:t>לתוצאה</w:t>
      </w:r>
      <w:r>
        <w:rPr>
          <w:rFonts w:ascii="David" w:hAnsi="David"/>
          <w:rtl w:val="true"/>
        </w:rPr>
        <w:t xml:space="preserve"> כזו או אחרת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לדוגמא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די שהתנהגותו  הפרועה של נאשם בנתיב תחבורה גרמה לרכב אחר לסטות ממסלול נסיעתו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שדברי האיום של הנאשם גרמו לתחושת פחד אצל קרבן או להקנטתו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לבסס עבירת אלימות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להבדיל ממי שנושא נשק ברכבו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עבירה שיש בה יסוד של אלימות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אך אין בה את המרכיב הנוסף לצורך הגדרתה כעבירת אלימות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בין המשפט בעניין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בור הפנה גם ל</w:t>
      </w:r>
      <w:hyperlink r:id="rId31">
        <w:r>
          <w:rPr>
            <w:rStyle w:val="Hyperlink"/>
            <w:rFonts w:ascii="David" w:hAnsi="David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 w:ascii="David" w:hAnsi="David"/>
            <w:color w:val="0000FF"/>
            <w:u w:val="single"/>
          </w:rPr>
          <w:t>49/80</w:t>
        </w:r>
      </w:hyperlink>
      <w:r>
        <w:rPr>
          <w:rFonts w:cs="Times New Roman" w:ascii="David" w:hAnsi="David"/>
          <w:color w:val="000000"/>
          <w:rtl w:val="true"/>
        </w:rPr>
        <w:t xml:space="preserve"> </w:t>
      </w:r>
      <w:r>
        <w:rPr>
          <w:rFonts w:ascii="David" w:hAnsi="David" w:cs="Times New Roman"/>
          <w:color w:val="000000"/>
          <w:rtl w:val="true"/>
        </w:rPr>
        <w:t>עמוס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Times New Roman"/>
          <w:color w:val="000000"/>
          <w:rtl w:val="true"/>
        </w:rPr>
        <w:t>מסילתי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Times New Roman"/>
          <w:color w:val="000000"/>
          <w:rtl w:val="true"/>
        </w:rPr>
        <w:t>נגד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Times New Roman"/>
          <w:color w:val="000000"/>
          <w:rtl w:val="true"/>
        </w:rPr>
        <w:t>מדינת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Times New Roman"/>
          <w:color w:val="000000"/>
          <w:rtl w:val="true"/>
        </w:rPr>
        <w:t>ישראל</w:t>
      </w:r>
      <w:r>
        <w:rPr>
          <w:rFonts w:cs="Times New Roman" w:ascii="David" w:hAnsi="David"/>
          <w:color w:val="000000"/>
          <w:rtl w:val="true"/>
        </w:rPr>
        <w:t xml:space="preserve">, </w:t>
      </w:r>
      <w:r>
        <w:rPr>
          <w:rFonts w:ascii="David" w:hAnsi="David" w:cs="Times New Roman"/>
          <w:color w:val="000000"/>
          <w:rtl w:val="true"/>
        </w:rPr>
        <w:t>פ</w:t>
      </w:r>
      <w:r>
        <w:rPr>
          <w:rFonts w:cs="Times New Roman" w:ascii="David" w:hAnsi="David"/>
          <w:color w:val="000000"/>
          <w:rtl w:val="true"/>
        </w:rPr>
        <w:t>"</w:t>
      </w:r>
      <w:r>
        <w:rPr>
          <w:rFonts w:ascii="David" w:hAnsi="David" w:cs="Times New Roman"/>
          <w:color w:val="000000"/>
          <w:rtl w:val="true"/>
        </w:rPr>
        <w:t>ד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Times New Roman"/>
          <w:color w:val="000000"/>
          <w:rtl w:val="true"/>
        </w:rPr>
        <w:t>לד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803</w:t>
      </w:r>
      <w:r>
        <w:rPr>
          <w:rFonts w:cs="David" w:ascii="David" w:hAnsi="David"/>
          <w:rtl w:val="true"/>
        </w:rPr>
        <w:t>, 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מסילתי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שם נקבע כי המבחן להפעלת התנאי הינו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tabs>
          <w:tab w:val="clear" w:pos="720"/>
          <w:tab w:val="left" w:pos="794" w:leader="none"/>
        </w:tabs>
        <w:spacing w:lineRule="auto" w:line="360"/>
        <w:ind w:start="1106" w:end="567"/>
        <w:jc w:val="both"/>
        <w:rPr>
          <w:rFonts w:ascii="David" w:hAnsi="David" w:cs="David"/>
          <w:b/>
          <w:bCs/>
          <w:i/>
          <w:i/>
          <w:iCs/>
          <w:sz w:val="6"/>
          <w:szCs w:val="6"/>
        </w:rPr>
      </w:pPr>
      <w:r>
        <w:rPr>
          <w:rFonts w:cs="David" w:ascii="David" w:hAnsi="David"/>
          <w:b/>
          <w:bCs/>
          <w:i/>
          <w:iCs/>
          <w:sz w:val="6"/>
          <w:szCs w:val="6"/>
          <w:rtl w:val="true"/>
        </w:rPr>
      </w:r>
    </w:p>
    <w:p>
      <w:pPr>
        <w:pStyle w:val="Normal"/>
        <w:tabs>
          <w:tab w:val="clear" w:pos="720"/>
          <w:tab w:val="left" w:pos="794" w:leader="none"/>
        </w:tabs>
        <w:spacing w:lineRule="auto" w:line="360"/>
        <w:ind w:start="1106" w:end="567"/>
        <w:jc w:val="both"/>
        <w:rPr/>
      </w:pPr>
      <w:r>
        <w:rPr>
          <w:rFonts w:cs="David" w:ascii="David" w:hAnsi="David"/>
          <w:i/>
          <w:iCs/>
          <w:rtl w:val="true"/>
        </w:rPr>
        <w:t xml:space="preserve">"... </w:t>
      </w:r>
      <w:r>
        <w:rPr>
          <w:rFonts w:ascii="David" w:hAnsi="David"/>
          <w:i/>
          <w:i/>
          <w:iCs/>
          <w:rtl w:val="true"/>
        </w:rPr>
        <w:t>ההשוואה הראויה אינה בין יסודות עבירת התנאי כפי שהיא מופיעה בספר החוקים</w:t>
      </w:r>
      <w:r>
        <w:rPr>
          <w:rFonts w:cs="David" w:ascii="David" w:hAnsi="David"/>
          <w:i/>
          <w:iCs/>
          <w:rtl w:val="true"/>
        </w:rPr>
        <w:t xml:space="preserve">, </w:t>
      </w:r>
      <w:r>
        <w:rPr>
          <w:rFonts w:ascii="David" w:hAnsi="David"/>
          <w:i/>
          <w:i/>
          <w:iCs/>
          <w:rtl w:val="true"/>
        </w:rPr>
        <w:t>לבין יסודות העבירה בה הורשע הנאשם</w:t>
      </w:r>
      <w:r>
        <w:rPr>
          <w:rFonts w:cs="David" w:ascii="David" w:hAnsi="David"/>
          <w:i/>
          <w:iCs/>
          <w:rtl w:val="true"/>
        </w:rPr>
        <w:t xml:space="preserve">, </w:t>
      </w:r>
      <w:r>
        <w:rPr>
          <w:rFonts w:ascii="David" w:hAnsi="David"/>
          <w:i/>
          <w:i/>
          <w:iCs/>
          <w:rtl w:val="true"/>
        </w:rPr>
        <w:t>כפי שהיא מופיעה בספר החוקים</w:t>
      </w:r>
      <w:r>
        <w:rPr>
          <w:rFonts w:cs="David" w:ascii="David" w:hAnsi="David"/>
          <w:i/>
          <w:iCs/>
          <w:rtl w:val="true"/>
        </w:rPr>
        <w:t xml:space="preserve">. </w:t>
      </w:r>
      <w:r>
        <w:rPr>
          <w:rFonts w:ascii="David" w:hAnsi="David"/>
          <w:i/>
          <w:i/>
          <w:iCs/>
          <w:rtl w:val="true"/>
        </w:rPr>
        <w:t>ההשוואה הראויה היא בין יסודות עבירת התנאי כפי שהיא מופיעה בספר החוקים</w:t>
      </w:r>
      <w:r>
        <w:rPr>
          <w:rFonts w:cs="David" w:ascii="David" w:hAnsi="David"/>
          <w:i/>
          <w:iCs/>
          <w:rtl w:val="true"/>
        </w:rPr>
        <w:t xml:space="preserve">, </w:t>
      </w:r>
      <w:r>
        <w:rPr>
          <w:rFonts w:ascii="David" w:hAnsi="David"/>
          <w:i/>
          <w:i/>
          <w:iCs/>
          <w:rtl w:val="true"/>
        </w:rPr>
        <w:t>לבין היסודות המתקיימים בהתנהגותו של הנאשם</w:t>
      </w:r>
      <w:r>
        <w:rPr>
          <w:rFonts w:cs="David" w:ascii="David" w:hAnsi="David"/>
          <w:i/>
          <w:iCs/>
          <w:rtl w:val="true"/>
        </w:rPr>
        <w:t xml:space="preserve">, </w:t>
      </w:r>
      <w:r>
        <w:rPr>
          <w:rFonts w:ascii="David" w:hAnsi="David"/>
          <w:i/>
          <w:i/>
          <w:iCs/>
          <w:rtl w:val="true"/>
        </w:rPr>
        <w:t>כפי שהורשע עליהם</w:t>
      </w:r>
      <w:r>
        <w:rPr>
          <w:rFonts w:cs="David" w:ascii="David" w:hAnsi="David"/>
          <w:i/>
          <w:iCs/>
          <w:rtl w:val="true"/>
        </w:rPr>
        <w:t xml:space="preserve">, </w:t>
      </w:r>
      <w:r>
        <w:rPr>
          <w:rFonts w:ascii="David" w:hAnsi="David"/>
          <w:i/>
          <w:i/>
          <w:iCs/>
          <w:rtl w:val="true"/>
        </w:rPr>
        <w:t>הלכה למעשה</w:t>
      </w:r>
      <w:r>
        <w:rPr>
          <w:rFonts w:cs="David" w:ascii="David" w:hAnsi="David"/>
          <w:i/>
          <w:iCs/>
          <w:rtl w:val="true"/>
        </w:rPr>
        <w:t>"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09" w:start="1106" w:end="567"/>
        <w:jc w:val="both"/>
        <w:rPr>
          <w:rFonts w:ascii="David" w:hAnsi="David" w:cs="David"/>
          <w:i/>
          <w:i/>
          <w:iCs/>
        </w:rPr>
      </w:pPr>
      <w:r>
        <w:rPr>
          <w:rFonts w:cs="David" w:ascii="David" w:hAnsi="David"/>
          <w:i/>
          <w:iCs/>
          <w:rtl w:val="true"/>
        </w:rPr>
        <w:tab/>
      </w:r>
    </w:p>
    <w:p>
      <w:pPr>
        <w:pStyle w:val="Normal"/>
        <w:spacing w:lineRule="auto" w:line="360"/>
        <w:ind w:start="652" w:end="0"/>
        <w:jc w:val="both"/>
        <w:rPr/>
      </w:pPr>
      <w:r>
        <w:rPr>
          <w:rFonts w:ascii="David" w:hAnsi="David"/>
          <w:rtl w:val="true"/>
        </w:rPr>
        <w:t>לדידי ההלכה שנקבעה בעניין מסילתי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שעיקרה השוואה בין </w:t>
      </w:r>
      <w:r>
        <w:rPr>
          <w:rFonts w:ascii="David" w:hAnsi="David"/>
          <w:u w:val="single"/>
          <w:rtl w:val="true"/>
        </w:rPr>
        <w:t xml:space="preserve">יסודות </w:t>
      </w:r>
      <w:r>
        <w:rPr>
          <w:rFonts w:ascii="David" w:hAnsi="David"/>
          <w:rtl w:val="true"/>
        </w:rPr>
        <w:t xml:space="preserve">עבירת התנאי </w:t>
      </w:r>
      <w:r>
        <w:rPr>
          <w:rFonts w:ascii="David" w:hAnsi="David"/>
          <w:u w:val="single"/>
          <w:rtl w:val="true"/>
        </w:rPr>
        <w:t xml:space="preserve">ליסודות </w:t>
      </w:r>
      <w:r>
        <w:rPr>
          <w:rFonts w:ascii="David" w:hAnsi="David"/>
          <w:rtl w:val="true"/>
        </w:rPr>
        <w:t>המתקיימים בהתנהגות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תומכת בהבחנה שיש לקיים בין עבירת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אלימות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בה מתקיימים כל יסודות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עבירה שיש בה יסוד של אלימות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שדי לה בהתקיימות אותו </w:t>
      </w:r>
      <w:r>
        <w:rPr>
          <w:rFonts w:ascii="David" w:hAnsi="David"/>
          <w:u w:val="single"/>
          <w:rtl w:val="true"/>
        </w:rPr>
        <w:t>יסוד בודד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652" w:end="0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hanging="709" w:start="652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אשר למבחן הרציונל המוזכר בעניין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בור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אני סבור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שאין בעובדה שהערכים המוגנים 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כגון הצורך בשמירה על שלמות 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נפשו ובטחונו של אדם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אשר כלולים הן בעבירת האלימות המוגמרת והן בעבירת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להצדיק את תחולתו של התנאי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חפיפה חלקית ביחס לערכים המוגנים מתקיימת בעבירות רבות ושונות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ואימוץ מבחן הנוגע לקרבה שבין הערכים המוגנים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עלול להביא לחוסר בהירות ועמימות שאינם רצויים באופן כללי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ובהליך הפלילי בפרט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בהקשר זה ייאמר כי הצורך בהרתעה אינו יכול להצדיק מתן פרשנות כה מרחיבה למושג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אלימות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09" w:start="652" w:end="0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hanging="709" w:start="652" w:end="0"/>
        <w:jc w:val="both"/>
        <w:rPr>
          <w:rFonts w:ascii="David" w:hAnsi="David" w:cs="David"/>
          <w:b/>
          <w:bCs/>
          <w:sz w:val="10"/>
          <w:szCs w:val="10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לסיכום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 xml:space="preserve">לאור כל האמור לעיל לרבות ההבחנה הברורה </w:t>
      </w:r>
      <w:r>
        <w:rPr>
          <w:rFonts w:ascii="David" w:hAnsi="David" w:eastAsia="Calibri"/>
          <w:rtl w:val="true"/>
        </w:rPr>
        <w:t>והמהותית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שבין  עבירת אלימות לבין עבירה שיש בה יסוד של אלימות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החשיבות שהנאשם יבין את מהות התנאי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והצורך בבהירות להבדיל מעמימות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מביאים למסקנה לפיה המאסר המותנה אינו חל במקרה זה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לאור כל האמור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גוזר על הנאשם  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spacing w:before="0" w:after="160"/>
        <w:ind w:end="0"/>
        <w:jc w:val="both"/>
        <w:rPr>
          <w:rFonts w:ascii="David" w:hAnsi="David" w:eastAsia="Calibri" w:cs="David"/>
          <w:b/>
          <w:bCs/>
          <w:sz w:val="10"/>
          <w:szCs w:val="10"/>
        </w:rPr>
      </w:pPr>
      <w:r>
        <w:rPr>
          <w:rFonts w:eastAsia="Calibri" w:cs="David" w:ascii="David" w:hAnsi="David"/>
          <w:b/>
          <w:bCs/>
          <w:sz w:val="10"/>
          <w:szCs w:val="10"/>
          <w:rtl w:val="true"/>
        </w:rPr>
      </w:r>
    </w:p>
    <w:p>
      <w:pPr>
        <w:pStyle w:val="Normal"/>
        <w:spacing w:lineRule="auto" w:line="360" w:before="0" w:after="160"/>
        <w:ind w:firstLine="12" w:start="708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rtl w:val="true"/>
        </w:rPr>
        <w:t xml:space="preserve">אני גוזר על הנאשם מאסר בפועל לתקופה של 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חודשים בניכוי ימי מעצרו מתאריך </w:t>
      </w:r>
      <w:r>
        <w:rPr>
          <w:rFonts w:cs="David" w:ascii="David" w:hAnsi="David"/>
          <w:b/>
          <w:bCs/>
        </w:rPr>
        <w:t>23/4/23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ועד היום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before="0" w:after="160"/>
        <w:ind w:hanging="425" w:start="707" w:end="0"/>
        <w:contextualSpacing/>
        <w:jc w:val="both"/>
        <w:rPr>
          <w:rFonts w:ascii="David" w:hAnsi="David" w:cs="David"/>
          <w:b/>
          <w:bCs/>
          <w:sz w:val="10"/>
          <w:szCs w:val="10"/>
          <w:u w:val="single"/>
        </w:rPr>
      </w:pPr>
      <w:r>
        <w:rPr>
          <w:rFonts w:cs="David" w:ascii="David" w:hAnsi="David"/>
          <w:b/>
          <w:bCs/>
          <w:sz w:val="10"/>
          <w:szCs w:val="10"/>
          <w:u w:val="single"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ascii="David" w:hAnsi="David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חודשים והתנאי הוא  שלא יעבור בתוך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שנים מיום שחרורו ממאסרו עבירת נשק מסוג פשע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ויורשע בגינה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cs="David"/>
          <w:b/>
          <w:bCs/>
          <w:sz w:val="14"/>
          <w:szCs w:val="14"/>
        </w:rPr>
      </w:pPr>
      <w:r>
        <w:rPr>
          <w:rFonts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ascii="David" w:hAnsi="David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חודשים והתנאי הוא  שלא יעבור בתוך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שנים מיום שחרורו ממאסרו עבירת נשק מסוג עוון או עבירה של הפרעה לשוטר במילוי תפקידו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ויורשע בגינה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napToGrid w:val="false"/>
        <w:spacing w:lineRule="auto" w:line="360" w:before="0" w:after="160"/>
        <w:ind w:end="0"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    </w:t>
      </w:r>
      <w:r>
        <w:rPr>
          <w:rFonts w:cs="David" w:ascii="David" w:hAnsi="David"/>
          <w:b/>
          <w:bCs/>
          <w:rtl w:val="true"/>
        </w:rPr>
        <w:tab/>
        <w:t xml:space="preserve"> </w:t>
      </w:r>
      <w:r>
        <w:rPr>
          <w:rFonts w:ascii="David" w:hAnsi="David"/>
          <w:b/>
          <w:b/>
          <w:bCs/>
          <w:rtl w:val="true"/>
        </w:rPr>
        <w:t xml:space="preserve">אני גוזר על הנאשם קנס בסך </w:t>
      </w:r>
      <w:r>
        <w:rPr>
          <w:rFonts w:cs="David" w:ascii="David" w:hAnsi="David"/>
          <w:b/>
          <w:bCs/>
        </w:rPr>
        <w:t>15,000</w:t>
      </w:r>
      <w:r>
        <w:rPr>
          <w:rFonts w:cs="David" w:ascii="David" w:hAnsi="David"/>
          <w:b/>
          <w:bCs/>
          <w:rtl w:val="true"/>
        </w:rPr>
        <w:t xml:space="preserve"> ₪  </w:t>
      </w:r>
      <w:r>
        <w:rPr>
          <w:rFonts w:ascii="David" w:hAnsi="David"/>
          <w:b/>
          <w:b/>
          <w:bCs/>
          <w:rtl w:val="true"/>
        </w:rPr>
        <w:t xml:space="preserve">או </w:t>
      </w:r>
      <w:r>
        <w:rPr>
          <w:rFonts w:cs="David" w:ascii="David" w:hAnsi="David"/>
          <w:b/>
          <w:bCs/>
        </w:rPr>
        <w:t>90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 מאסר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cs="David" w:ascii="David" w:hAnsi="David"/>
          <w:b/>
          <w:bCs/>
          <w:rtl w:val="true"/>
        </w:rPr>
        <w:t xml:space="preserve">        </w:t>
      </w:r>
      <w:r>
        <w:rPr>
          <w:rFonts w:ascii="David" w:hAnsi="David"/>
          <w:b/>
          <w:b/>
          <w:bCs/>
          <w:rtl w:val="true"/>
        </w:rPr>
        <w:t xml:space="preserve">הקנס ישולם עד ליום </w:t>
      </w:r>
      <w:r>
        <w:rPr>
          <w:rFonts w:cs="David" w:ascii="David" w:hAnsi="David"/>
          <w:b/>
          <w:bCs/>
        </w:rPr>
        <w:t>01/09/24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707" w:end="0"/>
        <w:contextualSpacing/>
        <w:jc w:val="both"/>
        <w:rPr/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rtl w:val="true"/>
        </w:rPr>
        <w:t>תשומת לב הנאשם שיש לשלם את הקנס לחשבון המרכז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 מחלוף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 מיום מתן גזר הדין וזאת באחת מהדרכים הבאות</w:t>
      </w:r>
      <w:r>
        <w:rPr>
          <w:rFonts w:cs="David" w:ascii="David" w:hAnsi="David"/>
          <w:rtl w:val="true"/>
        </w:rPr>
        <w:t>:</w:t>
      </w:r>
      <w:r>
        <w:rPr>
          <w:rFonts w:ascii="David" w:hAnsi="David"/>
          <w:rtl w:val="true"/>
        </w:rPr>
        <w:t>בכרטיס אשראי – באתר המקוון של רשות האכיפה והגבייה</w:t>
      </w:r>
      <w:r>
        <w:rPr>
          <w:rFonts w:cs="David" w:ascii="David" w:hAnsi="David"/>
          <w:rtl w:val="true"/>
        </w:rPr>
        <w:t xml:space="preserve">, </w:t>
      </w:r>
      <w:hyperlink r:id="rId32">
        <w:r>
          <w:rPr>
            <w:rStyle w:val="Hyperlink"/>
            <w:rFonts w:cs="David" w:ascii="David" w:hAnsi="David"/>
          </w:rPr>
          <w:t>www.eca.gov.il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 חפש בגוגל 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תשלום גביית קנסות</w:t>
      </w:r>
      <w:r>
        <w:rPr>
          <w:rFonts w:cs="David" w:ascii="David" w:hAnsi="David"/>
          <w:rtl w:val="true"/>
        </w:rPr>
        <w:t>".</w:t>
      </w:r>
      <w:r>
        <w:rPr>
          <w:rFonts w:ascii="David" w:hAnsi="David"/>
          <w:rtl w:val="true"/>
        </w:rPr>
        <w:t xml:space="preserve">מוקד שירות טלפוני בשרות עצמי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מרכז גבייה</w:t>
      </w:r>
      <w:r>
        <w:rPr>
          <w:rFonts w:cs="David" w:ascii="David" w:hAnsi="David"/>
          <w:rtl w:val="true"/>
        </w:rPr>
        <w:t xml:space="preserve">)  – </w:t>
      </w:r>
      <w:r>
        <w:rPr>
          <w:rFonts w:ascii="David" w:hAnsi="David"/>
          <w:rtl w:val="true"/>
        </w:rPr>
        <w:t xml:space="preserve">בטלפון </w:t>
      </w:r>
      <w:r>
        <w:rPr>
          <w:rFonts w:cs="David" w:ascii="David" w:hAnsi="David"/>
        </w:rPr>
        <w:t>35592</w:t>
      </w:r>
      <w:r>
        <w:rPr>
          <w:rFonts w:cs="David" w:ascii="David" w:hAnsi="David"/>
          <w:rtl w:val="true"/>
        </w:rPr>
        <w:t xml:space="preserve">* </w:t>
      </w:r>
      <w:r>
        <w:rPr>
          <w:rFonts w:ascii="David" w:hAnsi="David"/>
          <w:rtl w:val="true"/>
        </w:rPr>
        <w:t xml:space="preserve">או בטלפון </w:t>
      </w:r>
      <w:r>
        <w:rPr>
          <w:rFonts w:cs="David" w:ascii="David" w:hAnsi="David"/>
        </w:rPr>
        <w:t>073-2055000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ניתן לפנות לנציגים לקבלת מידע במספרים הללו</w:t>
      </w:r>
      <w:r>
        <w:rPr>
          <w:rFonts w:cs="David" w:ascii="David" w:hAnsi="David"/>
          <w:rtl w:val="true"/>
        </w:rPr>
        <w:t>).</w:t>
      </w:r>
      <w:r>
        <w:rPr>
          <w:rFonts w:ascii="David" w:hAnsi="David"/>
          <w:rtl w:val="true"/>
        </w:rPr>
        <w:t xml:space="preserve">במזומן בכל סניף של בנק הדואר – בהצגת תעודת זהות בלבד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אין צורך בשוברי תשלום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252" w:before="0" w:after="160"/>
        <w:ind w:end="0"/>
        <w:jc w:val="start"/>
        <w:rPr>
          <w:rFonts w:ascii="Calibri" w:hAnsi="Calibri" w:eastAsia="Calibri" w:cs="Arial"/>
          <w:sz w:val="22"/>
          <w:szCs w:val="22"/>
        </w:rPr>
      </w:pPr>
      <w:r>
        <w:rPr>
          <w:rFonts w:ascii="David" w:hAnsi="David" w:eastAsia="Calibri"/>
          <w:b/>
          <w:b/>
          <w:bCs/>
          <w:rtl w:val="true"/>
        </w:rPr>
        <w:t xml:space="preserve">זכות ערעור לבית המשפט העליון בתוך </w:t>
      </w:r>
      <w:r>
        <w:rPr>
          <w:rFonts w:eastAsia="Calibri" w:cs="David" w:ascii="David" w:hAnsi="David"/>
          <w:b/>
          <w:bCs/>
        </w:rPr>
        <w:t>45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יום מהיום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eastAsia="Calibri" w:cs="Arial"/>
          <w:b/>
          <w:bCs/>
          <w:sz w:val="26"/>
          <w:szCs w:val="26"/>
        </w:rPr>
      </w:pPr>
      <w:r>
        <w:rPr>
          <w:rFonts w:eastAsia="Calibri"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/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 שבט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פברואר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      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גיל קרזבום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4"/>
      <w:footerReference w:type="default" r:id="rId35"/>
      <w:type w:val="nextPage"/>
      <w:pgSz w:w="11906" w:h="16838"/>
      <w:pgMar w:left="1077" w:right="1077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32277-05-23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טארק אבו חמדי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rFonts w:ascii="Times New Roman" w:hAnsi="Times New Roman" w:cs="Times New Roman"/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98569" TargetMode="External"/><Relationship Id="rId7" Type="http://schemas.openxmlformats.org/officeDocument/2006/relationships/hyperlink" Target="http://www.nevo.co.il/law/98569/3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75" TargetMode="External"/><Relationship Id="rId11" Type="http://schemas.openxmlformats.org/officeDocument/2006/relationships/hyperlink" Target="http://www.nevo.co.il/case/26824110" TargetMode="External"/><Relationship Id="rId12" Type="http://schemas.openxmlformats.org/officeDocument/2006/relationships/hyperlink" Target="http://www.nevo.co.il/case/26824110" TargetMode="External"/><Relationship Id="rId13" Type="http://schemas.openxmlformats.org/officeDocument/2006/relationships/hyperlink" Target="http://www.nevo.co.il/case/24263426" TargetMode="External"/><Relationship Id="rId14" Type="http://schemas.openxmlformats.org/officeDocument/2006/relationships/hyperlink" Target="http://www.nevo.co.il/case/6238528" TargetMode="External"/><Relationship Id="rId15" Type="http://schemas.openxmlformats.org/officeDocument/2006/relationships/hyperlink" Target="http://www.nevo.co.il/case/2268113" TargetMode="External"/><Relationship Id="rId16" Type="http://schemas.openxmlformats.org/officeDocument/2006/relationships/hyperlink" Target="http://www.nevo.co.il/law/70301/144" TargetMode="External"/><Relationship Id="rId17" Type="http://schemas.openxmlformats.org/officeDocument/2006/relationships/hyperlink" Target="http://www.nevo.co.il/case/26431667" TargetMode="External"/><Relationship Id="rId18" Type="http://schemas.openxmlformats.org/officeDocument/2006/relationships/hyperlink" Target="http://www.nevo.co.il/case/24350409" TargetMode="External"/><Relationship Id="rId19" Type="http://schemas.openxmlformats.org/officeDocument/2006/relationships/hyperlink" Target="http://www.nevo.co.il/case/6026853" TargetMode="External"/><Relationship Id="rId20" Type="http://schemas.openxmlformats.org/officeDocument/2006/relationships/hyperlink" Target="http://www.nevo.co.il/case/5569332" TargetMode="External"/><Relationship Id="rId21" Type="http://schemas.openxmlformats.org/officeDocument/2006/relationships/hyperlink" Target="http://www.nevo.co.il/law/98569/3" TargetMode="External"/><Relationship Id="rId22" Type="http://schemas.openxmlformats.org/officeDocument/2006/relationships/hyperlink" Target="http://www.nevo.co.il/law/98569" TargetMode="External"/><Relationship Id="rId23" Type="http://schemas.openxmlformats.org/officeDocument/2006/relationships/hyperlink" Target="http://www.nevo.co.il/case/17924021" TargetMode="External"/><Relationship Id="rId24" Type="http://schemas.openxmlformats.org/officeDocument/2006/relationships/hyperlink" Target="http://www.nevo.co.il/law/98569" TargetMode="External"/><Relationship Id="rId25" Type="http://schemas.openxmlformats.org/officeDocument/2006/relationships/hyperlink" Target="http://www.nevo.co.il/case/17945941" TargetMode="External"/><Relationship Id="rId26" Type="http://schemas.openxmlformats.org/officeDocument/2006/relationships/hyperlink" Target="http://www.nevo.co.il/case/25890687" TargetMode="External"/><Relationship Id="rId27" Type="http://schemas.openxmlformats.org/officeDocument/2006/relationships/hyperlink" Target="http://www.nevo.co.il/case/5691883" TargetMode="External"/><Relationship Id="rId28" Type="http://schemas.openxmlformats.org/officeDocument/2006/relationships/hyperlink" Target="http://www.nevo.co.il/case/19999484" TargetMode="External"/><Relationship Id="rId29" Type="http://schemas.openxmlformats.org/officeDocument/2006/relationships/hyperlink" Target="http://www.nevo.co.il/case/5691883" TargetMode="External"/><Relationship Id="rId30" Type="http://schemas.openxmlformats.org/officeDocument/2006/relationships/hyperlink" Target="http://www.nevo.co.il/case/19999484" TargetMode="External"/><Relationship Id="rId31" Type="http://schemas.openxmlformats.org/officeDocument/2006/relationships/hyperlink" Target="http://www.nevo.co.il/case/17942576" TargetMode="External"/><Relationship Id="rId32" Type="http://schemas.openxmlformats.org/officeDocument/2006/relationships/hyperlink" Target="http://www.eca.gov.il/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2024-02-08T07:36:00Z</dcterms:created>
  <dc:creator> </dc:creator>
  <dc:description/>
  <cp:keywords/>
  <dc:language>en-IL</dc:language>
  <cp:lastModifiedBy>h1</cp:lastModifiedBy>
  <dcterms:modified xsi:type="dcterms:W3CDTF">2024-02-08T07:36:00Z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טארק אבו חמדי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ProcID=209&amp;PartA=1095&amp;PartC=00</vt:lpwstr>
  </property>
  <property fmtid="{D5CDD505-2E9C-101B-9397-08002B2CF9AE}" pid="9" name="CASENOTES2">
    <vt:lpwstr>ProcID=133;209&amp;PartA=103&amp;PartC=80</vt:lpwstr>
  </property>
  <property fmtid="{D5CDD505-2E9C-101B-9397-08002B2CF9AE}" pid="10" name="CASESLISTTMP1">
    <vt:lpwstr>26824110:2;24263426;6238528;2268113;26431667;24350409;6026853;5569332;17924021;17945941;25890687;5691883:2;19999484:2;17942576</vt:lpwstr>
  </property>
  <property fmtid="{D5CDD505-2E9C-101B-9397-08002B2CF9AE}" pid="11" name="CITY">
    <vt:lpwstr>חי'</vt:lpwstr>
  </property>
  <property fmtid="{D5CDD505-2E9C-101B-9397-08002B2CF9AE}" pid="12" name="DATE">
    <vt:lpwstr>20240205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גיל קרזבום</vt:lpwstr>
  </property>
  <property fmtid="{D5CDD505-2E9C-101B-9397-08002B2CF9AE}" pid="16" name="LAWLISTTMP1">
    <vt:lpwstr>70301/144.b;275;144</vt:lpwstr>
  </property>
  <property fmtid="{D5CDD505-2E9C-101B-9397-08002B2CF9AE}" pid="17" name="LAWLISTTMP2">
    <vt:lpwstr>98569/003</vt:lpwstr>
  </property>
  <property fmtid="{D5CDD505-2E9C-101B-9397-08002B2CF9AE}" pid="18" name="LAWYER">
    <vt:lpwstr/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32277</vt:lpwstr>
  </property>
  <property fmtid="{D5CDD505-2E9C-101B-9397-08002B2CF9AE}" pid="25" name="NEWPARTB">
    <vt:lpwstr>05</vt:lpwstr>
  </property>
  <property fmtid="{D5CDD505-2E9C-101B-9397-08002B2CF9AE}" pid="26" name="NEWPARTC">
    <vt:lpwstr>23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390020240205</vt:lpwstr>
  </property>
  <property fmtid="{D5CDD505-2E9C-101B-9397-08002B2CF9AE}" pid="37" name="TYPE_N_DATE">
    <vt:lpwstr>39020240205</vt:lpwstr>
  </property>
  <property fmtid="{D5CDD505-2E9C-101B-9397-08002B2CF9AE}" pid="38" name="VOLUME">
    <vt:lpwstr/>
  </property>
  <property fmtid="{D5CDD505-2E9C-101B-9397-08002B2CF9AE}" pid="39" name="WORDNUMPAGES">
    <vt:lpwstr>8</vt:lpwstr>
  </property>
</Properties>
</file>