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32357-08-11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והגנים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שרף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>
          <w:trHeight w:val="451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</w:tc>
      </w:tr>
    </w:tbl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3"/>
        <w:gridCol w:w="4241"/>
        <w:gridCol w:w="3726"/>
      </w:tblGrid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 xml:space="preserve">- </w:t>
              <w:br/>
            </w:r>
            <w:r>
              <w:rPr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והגנים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37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241" w:type="dxa"/>
            <w:tcBorders/>
          </w:tcPr>
          <w:p>
            <w:pPr>
              <w:pStyle w:val="Normal"/>
              <w:ind w:end="0"/>
              <w:jc w:val="both"/>
              <w:rPr>
                <w:rFonts w:ascii="Arial (W1);Arial" w:hAnsi="Arial (W1);Arial" w:cs="Arial (W1);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גיורא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עדתו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41" w:type="dxa"/>
            <w:tcBorders/>
          </w:tcPr>
          <w:p>
            <w:pPr>
              <w:pStyle w:val="Normal"/>
              <w:ind w:end="0"/>
              <w:jc w:val="both"/>
              <w:rPr>
                <w:rFonts w:ascii="Arial (W1);Arial" w:hAnsi="Arial (W1);Arial" w:cs="Arial (W1);Arial"/>
                <w:b/>
                <w:bCs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רז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שרף</w:t>
            </w:r>
          </w:p>
        </w:tc>
        <w:tc>
          <w:tcPr>
            <w:tcW w:w="37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41" w:type="dxa"/>
            <w:tcBorders/>
          </w:tcPr>
          <w:p>
            <w:pPr>
              <w:pStyle w:val="Normal"/>
              <w:ind w:end="0"/>
              <w:jc w:val="both"/>
              <w:rPr>
                <w:rFonts w:ascii="Arial (W1);Arial" w:hAnsi="Arial (W1);Arial" w:cs="Arial (W1);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י 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לסעיפים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1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color w:val="000000"/>
        </w:rPr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התשט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להגנת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חיית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הבר</w:t>
        </w:r>
      </w:hyperlink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לסעיפים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)(</w:t>
      </w:r>
      <w:r>
        <w:rPr>
          <w:color w:val="000000"/>
        </w:rPr>
        <w:t>3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bookmarkStart w:id="11" w:name="_GoBack"/>
      <w:bookmarkEnd w:id="11"/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לתקנה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להגנת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הבר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1976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התוכי</w:t>
      </w:r>
      <w:r>
        <w:rPr>
          <w:rtl w:val="true"/>
        </w:rPr>
        <w:t xml:space="preserve">"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זנבתנים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פינקים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bookmarkStart w:id="12" w:name="ABSTRACT_END"/>
      <w:bookmarkEnd w:id="12"/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3488/00</w:t>
        </w:r>
      </w:hyperlink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11.11.2001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ק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820/04</w:t>
        </w:r>
      </w:hyperlink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, </w:t>
      </w:r>
      <w:r>
        <w:rPr>
          <w:rtl w:val="true"/>
        </w:rPr>
        <w:t>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29.1.08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3488/00</w:t>
        </w:r>
      </w:hyperlink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ק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820/04</w:t>
        </w:r>
      </w:hyperlink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color w:val="000000"/>
          <w:rtl w:val="true"/>
        </w:rPr>
        <w:t>בסעיף</w:t>
      </w:r>
      <w:r>
        <w:rPr>
          <w:rFonts w:eastAsia="Times New Roman"/>
          <w:color w:val="000000"/>
          <w:rtl w:val="true"/>
        </w:rPr>
        <w:t xml:space="preserve"> </w:t>
      </w:r>
      <w:r>
        <w:rPr>
          <w:rFonts w:cs="David"/>
          <w:color w:val="000000"/>
        </w:rPr>
        <w:t>40</w:t>
      </w:r>
      <w:r>
        <w:rPr>
          <w:rFonts w:cs="David"/>
          <w:color w:val="000000"/>
          <w:rtl w:val="true"/>
        </w:rPr>
        <w:t>ג</w:t>
      </w:r>
      <w:r>
        <w:rPr>
          <w:rFonts w:cs="David"/>
          <w:color w:val="000000"/>
          <w:rtl w:val="true"/>
        </w:rPr>
        <w:t>(</w:t>
      </w:r>
      <w:r>
        <w:rPr>
          <w:rFonts w:cs="David"/>
          <w:color w:val="000000"/>
          <w:rtl w:val="true"/>
        </w:rPr>
        <w:t>א</w:t>
      </w:r>
      <w:r>
        <w:rPr>
          <w:rFonts w:cs="David"/>
          <w:color w:val="000000"/>
          <w:rtl w:val="true"/>
        </w:rPr>
        <w:t>)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Fonts w:eastAsia="Times New Roman"/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המרכיבים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firstLine="72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ab/>
      </w: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מביצוע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עבירה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החזקה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וסחר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בחיית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בר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מוגנת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הרכיב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שבסעיף</w:t>
      </w:r>
      <w:r>
        <w:rPr>
          <w:rFonts w:eastAsia="Arial TUR;Times New Roman" w:cs="Arial TUR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40</w:t>
      </w:r>
      <w:r>
        <w:rPr>
          <w:rFonts w:cs="David"/>
          <w:color w:val="000000"/>
          <w:sz w:val="24"/>
          <w:sz w:val="24"/>
          <w:szCs w:val="24"/>
          <w:rtl w:val="true"/>
        </w:rPr>
        <w:t>ג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א</w:t>
      </w:r>
      <w:r>
        <w:rPr>
          <w:rFonts w:cs="David"/>
          <w:color w:val="000000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Times New Roman" w:cs="Arial TUR;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שלוב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ושזור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בשאלת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בסעיף</w:t>
      </w:r>
      <w:r>
        <w:rPr>
          <w:rFonts w:eastAsia="Arial TUR;Times New Roman" w:cs="Arial TUR;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40</w:t>
      </w:r>
      <w:r>
        <w:rPr>
          <w:rFonts w:cs="David"/>
          <w:color w:val="000000"/>
          <w:sz w:val="24"/>
          <w:sz w:val="24"/>
          <w:szCs w:val="24"/>
          <w:rtl w:val="true"/>
        </w:rPr>
        <w:t>ט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א</w:t>
      </w:r>
      <w:r>
        <w:rPr>
          <w:rFonts w:cs="David"/>
          <w:color w:val="000000"/>
          <w:sz w:val="24"/>
          <w:szCs w:val="24"/>
          <w:rtl w:val="true"/>
        </w:rPr>
        <w:t>)(</w:t>
      </w:r>
      <w:r>
        <w:rPr>
          <w:rFonts w:cs="David"/>
          <w:color w:val="000000"/>
          <w:sz w:val="24"/>
          <w:szCs w:val="24"/>
        </w:rPr>
        <w:t>3</w:t>
      </w:r>
      <w:r>
        <w:rPr>
          <w:rFonts w:cs="David"/>
          <w:color w:val="000000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Cs w:val="24"/>
        </w:rPr>
        <w:t>4</w:t>
      </w:r>
      <w:r>
        <w:rPr>
          <w:rFonts w:cs="David"/>
          <w:color w:val="000000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hyperlink r:id="rId1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1161/04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חאג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יחיא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21.4.05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עמד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טירקל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הערך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והגנה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בסביבתם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הטבעית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לצוד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למקורות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העברי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hyperlink r:id="rId1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</w:rPr>
          <w:t>8122/12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פחמאווי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27.1.13</w:t>
      </w:r>
      <w:r>
        <w:rPr>
          <w:rFonts w:cs="David"/>
          <w:rtl w:val="true"/>
        </w:rPr>
        <w:t xml:space="preserve">):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התאכזרות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העקיפה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מעידה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אטימות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וקהות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נדמה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דווקא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בעידן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עידן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הטכנולוגי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חשופים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חריפה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חדשות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לבקרים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שומעים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ניסויים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מעוררי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פלצות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הנעשים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תמימות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מסחריים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גידול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ואחזקה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אכזריים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בתעשיית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המזון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צמצום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מרחב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הטבעי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המנסים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לשרוד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ישנם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ובצומח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פיתוח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להקפיד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הקפדה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יתרה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לצמצם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הכאב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הנגרם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בייחוד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זעקותיו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ושאינו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מהלך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להגנת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האנושיות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צמצום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פגיעתנו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הסובבים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להשפיע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תחומי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ובתוכו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Times New Roman" w:cs="Arial TUR;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 xml:space="preserve">." 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eastAsia="Arial TUR;Times New Roman" w:cs="Arial TUR;Times New Roman"/>
          <w:sz w:val="24"/>
          <w:szCs w:val="24"/>
          <w:rtl w:val="true"/>
        </w:rPr>
        <w:t xml:space="preserve"> </w:t>
      </w:r>
    </w:p>
    <w:p>
      <w:pPr>
        <w:pStyle w:val="BodyText"/>
        <w:ind w:firstLine="72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u w:val="single"/>
          <w:rtl w:val="true"/>
        </w:rPr>
        <w:tab/>
      </w:r>
      <w:r>
        <w:rPr>
          <w:rFonts w:cs="David"/>
          <w:sz w:val="28"/>
          <w:sz w:val="28"/>
          <w:szCs w:val="28"/>
          <w:u w:val="single"/>
          <w:rtl w:val="true"/>
        </w:rPr>
        <w:t>נסיבות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ביצוע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ומידת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אשמו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הנאשם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נסיבות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נמדדת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סוג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וכמות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המוגנות</w:t>
      </w:r>
      <w:r>
        <w:rPr>
          <w:rFonts w:cs="David"/>
          <w:rtl w:val="true"/>
        </w:rPr>
        <w:t xml:space="preserve">: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תורים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זנבתניים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פינקים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כסופי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הציפורים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עסק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שמנוהל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רישיונות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שהונפקו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מעדותו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הפקח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לעסקו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לתפיסת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הציפורים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האמורות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התנגד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לתפיסה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שיתף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בחקירתו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הליך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ההוכחות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נסב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סביב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המשפטית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הסחר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השנתי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החזיק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מתיר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מופיעות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בהיתר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הסחר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וממילא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התכוון</w:t>
      </w:r>
      <w:r>
        <w:rPr>
          <w:rFonts w:eastAsia="Times New Roman"/>
          <w:rtl w:val="true"/>
        </w:rPr>
        <w:t xml:space="preserve">  </w:t>
      </w:r>
      <w:r>
        <w:rPr>
          <w:rFonts w:cs="David"/>
          <w:rtl w:val="true"/>
        </w:rPr>
        <w:t>לדווח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קיומן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בתום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לחידוש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שלאחריה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-142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rFonts w:cs="David"/>
          <w:sz w:val="28"/>
          <w:szCs w:val="28"/>
          <w:rtl w:val="true"/>
        </w:rPr>
        <w:t>.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ab/>
      </w:r>
      <w:r>
        <w:rPr>
          <w:rFonts w:cs="David"/>
          <w:sz w:val="28"/>
          <w:sz w:val="28"/>
          <w:szCs w:val="28"/>
          <w:u w:val="single"/>
          <w:rtl w:val="true"/>
        </w:rPr>
        <w:t>מדיניות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הענישה</w:t>
      </w:r>
      <w:r>
        <w:rPr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הנוהגת</w:t>
      </w:r>
    </w:p>
    <w:p>
      <w:pPr>
        <w:pStyle w:val="BodyText"/>
        <w:ind w:start="-142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BodyText"/>
        <w:ind w:hanging="855" w:start="713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שבפסיקה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רכיבים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ברכיב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חופפת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יצורים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שהמדיניות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תועדף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19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Times New Roman"/>
            <w:rtl w:val="true"/>
          </w:rPr>
          <w:t xml:space="preserve"> </w:t>
        </w:r>
        <w:r>
          <w:rPr>
            <w:rStyle w:val="Hyperlink"/>
            <w:rFonts w:cs="David"/>
          </w:rPr>
          <w:t>1323/13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חסן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5.6.13</w:t>
      </w:r>
      <w:r>
        <w:rPr>
          <w:rFonts w:cs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5"/>
        <w:gridCol w:w="1246"/>
        <w:gridCol w:w="1246"/>
        <w:gridCol w:w="1246"/>
        <w:gridCol w:w="1246"/>
        <w:gridCol w:w="1246"/>
        <w:gridCol w:w="1246"/>
      </w:tblGrid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וערכאה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החיה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זהות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החלק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נלוות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לעבירת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ההחזקה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הקנס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ההתחייבות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הכספית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0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8122/12</w:t>
              </w:r>
            </w:hyperlink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22"/>
              </w:rPr>
            </w:pPr>
            <w:r>
              <w:rPr>
                <w:rtl w:val="true"/>
              </w:rPr>
              <w:t>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דורבן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תכולת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מאות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קוצים</w:t>
            </w:r>
            <w:r>
              <w:rPr>
                <w:rtl w:val="true"/>
              </w:rPr>
              <w:t>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תכולת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אין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  <w:r>
              <w:rPr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1">
              <w:r>
                <w:rPr>
                  <w:rStyle w:val="Hyperlink"/>
                  <w:rtl w:val="true"/>
                </w:rPr>
                <w:t>רע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1192/07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חוגלות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Fonts w:cs="Arial (W1);Arial" w:ascii="Arial (W1);Arial" w:hAnsi="Arial (W1);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יונים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שלם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Fonts w:cs="Arial (W1);Arial" w:ascii="Arial (W1);Arial" w:hAnsi="Arial (W1);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20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Fonts w:cs="Arial (W1);Arial" w:ascii="Arial (W1);Arial" w:hAnsi="Arial (W1);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8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2">
              <w:r>
                <w:rPr>
                  <w:rStyle w:val="Hyperlink"/>
                  <w:rtl w:val="true"/>
                </w:rPr>
                <w:t>עפ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28205-10-11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פנסיונים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Fonts w:cs="Arial (W1);Arial" w:ascii="Arial (W1);Arial" w:hAnsi="Arial (W1);Arial"/>
                <w:rtl w:val="true"/>
              </w:rPr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60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אין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5000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3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21302-07-11</w:t>
              </w:r>
            </w:hyperlink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6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זוכה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הנלוות</w:t>
            </w:r>
            <w:r>
              <w:rPr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4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45128-12-10</w:t>
              </w:r>
            </w:hyperlink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חוחית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46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hyperlink r:id="rId25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1234/05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צבי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ראשי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נחש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לטאה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פוחלצים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האמורות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ראשי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</w:t>
            </w:r>
            <w:r>
              <w:rPr>
                <w:rtl w:val="true"/>
              </w:rPr>
              <w:t xml:space="preserve">- </w:t>
            </w:r>
            <w:r>
              <w:rPr/>
              <w:t>4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נחש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לטאה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ופגיעה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חוק</w:t>
            </w:r>
            <w:r>
              <w:rPr>
                <w:rFonts w:cs="Times New Roman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גנים</w:t>
            </w:r>
            <w:r>
              <w:rPr>
                <w:rFonts w:cs="Times New Roman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לאומיים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2,500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color w:val="000000"/>
                <w:rtl w:val="true"/>
              </w:rPr>
              <w:t>ע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cs="Times New Roman"/>
                <w:color w:val="000000"/>
                <w:rtl w:val="true"/>
              </w:rPr>
              <w:t xml:space="preserve"> </w:t>
            </w:r>
            <w:r>
              <w:rPr>
                <w:color w:val="000000"/>
              </w:rPr>
              <w:t>28222-10-11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מדבריים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17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1,000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 (W1);Arial" w:hAnsi="Arial (W1);Arial" w:cs="Arial (W1);Arial"/>
              </w:rPr>
            </w:pP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ביניים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סעיפים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color w:val="000000"/>
        </w:rPr>
        <w:t>40</w:t>
      </w:r>
      <w:r>
        <w:rPr>
          <w:color w:val="000000"/>
          <w:rtl w:val="true"/>
        </w:rPr>
        <w:t>יא</w:t>
      </w:r>
      <w:r>
        <w:rPr>
          <w:color w:val="000000"/>
          <w:rtl w:val="true"/>
        </w:rPr>
        <w:t>(</w:t>
      </w:r>
      <w:r>
        <w:rPr>
          <w:color w:val="000000"/>
        </w:rPr>
        <w:t>11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1.2.14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1955</w:t>
      </w:r>
      <w:r>
        <w:rPr>
          <w:rtl w:val="true"/>
        </w:rPr>
        <w:t xml:space="preserve">. 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</w:rPr>
        <w:t>512937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</w:rPr>
        <w:t>1</w:t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הצדדים </w:t>
      </w:r>
    </w:p>
    <w:p>
      <w:pPr>
        <w:pStyle w:val="Normal"/>
        <w:tabs>
          <w:tab w:val="clear" w:pos="720"/>
          <w:tab w:val="left" w:pos="1625" w:leader="none"/>
        </w:tabs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Times New Roman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32357-08-11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הטבע והגנים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רז שרף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rFonts w:eastAsia="Batang;바탕"/>
      <w:sz w:val="24"/>
      <w:szCs w:val="24"/>
      <w:lang w:val="en-US" w:bidi="he-IL"/>
    </w:rPr>
  </w:style>
  <w:style w:type="character" w:styleId="Ruller4">
    <w:name w:val="Ruller4 תו"/>
    <w:basedOn w:val="DefaultParagraphFont"/>
    <w:qFormat/>
    <w:rPr>
      <w:rFonts w:ascii="Arial TUR;Times New Roman" w:hAnsi="Arial TUR;Times New Roman" w:cs="Arial TUR;Times New Roman"/>
      <w:spacing w:val="10"/>
      <w:sz w:val="28"/>
      <w:szCs w:val="28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eastAsia="Batang;바탕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Times New Roman" w:hAnsi="Arial TUR;Times New Roman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698" TargetMode="External"/><Relationship Id="rId3" Type="http://schemas.openxmlformats.org/officeDocument/2006/relationships/hyperlink" Target="http://www.nevo.co.il/law/7169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872765" TargetMode="External"/><Relationship Id="rId7" Type="http://schemas.openxmlformats.org/officeDocument/2006/relationships/hyperlink" Target="http://www.nevo.co.il/case/5728744" TargetMode="External"/><Relationship Id="rId8" Type="http://schemas.openxmlformats.org/officeDocument/2006/relationships/hyperlink" Target="http://www.nevo.co.il/case/872765" TargetMode="External"/><Relationship Id="rId9" Type="http://schemas.openxmlformats.org/officeDocument/2006/relationships/hyperlink" Target="http://www.nevo.co.il/case/57287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950458" TargetMode="External"/><Relationship Id="rId12" Type="http://schemas.openxmlformats.org/officeDocument/2006/relationships/hyperlink" Target="http://www.nevo.co.il/case/6824952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573417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750655" TargetMode="External"/><Relationship Id="rId18" Type="http://schemas.openxmlformats.org/officeDocument/2006/relationships/hyperlink" Target="http://www.nevo.co.il/case/5605850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5605850" TargetMode="External"/><Relationship Id="rId21" Type="http://schemas.openxmlformats.org/officeDocument/2006/relationships/hyperlink" Target="http://www.nevo.co.il/case/5753066" TargetMode="External"/><Relationship Id="rId22" Type="http://schemas.openxmlformats.org/officeDocument/2006/relationships/hyperlink" Target="http://www.nevo.co.il/case/2800024" TargetMode="External"/><Relationship Id="rId23" Type="http://schemas.openxmlformats.org/officeDocument/2006/relationships/hyperlink" Target="http://www.nevo.co.il/case/2660354" TargetMode="External"/><Relationship Id="rId24" Type="http://schemas.openxmlformats.org/officeDocument/2006/relationships/hyperlink" Target="http://www.nevo.co.il/case/4624695" TargetMode="External"/><Relationship Id="rId25" Type="http://schemas.openxmlformats.org/officeDocument/2006/relationships/hyperlink" Target="http://www.nevo.co.il/case/20934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2016-04-10T12:15:00Z</dcterms:created>
  <dc:creator> </dc:creator>
  <dc:description/>
  <cp:keywords/>
  <dc:language>en-IL</dc:language>
  <cp:lastModifiedBy>run</cp:lastModifiedBy>
  <dcterms:modified xsi:type="dcterms:W3CDTF">2016-04-10T12:15:00Z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רשות הטבע והגנים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רז שרף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872765:2;5728744:2;6950458;6824952;6473037:2;5573417;5750655;5605850:2;5753066;2800024;2660354;4624695;2093429</vt:lpwstr>
  </property>
  <property fmtid="{D5CDD505-2E9C-101B-9397-08002B2CF9AE}" pid="9" name="CITY">
    <vt:lpwstr>רמ'</vt:lpwstr>
  </property>
  <property fmtid="{D5CDD505-2E9C-101B-9397-08002B2CF9AE}" pid="10" name="DATE">
    <vt:lpwstr>20131218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71698:2</vt:lpwstr>
  </property>
  <property fmtid="{D5CDD505-2E9C-101B-9397-08002B2CF9AE}" pid="15" name="LAWLISTTMP2">
    <vt:lpwstr>71699:2</vt:lpwstr>
  </property>
  <property fmtid="{D5CDD505-2E9C-101B-9397-08002B2CF9AE}" pid="16" name="LAWLISTTMP3">
    <vt:lpwstr>70301:7</vt:lpwstr>
  </property>
  <property fmtid="{D5CDD505-2E9C-101B-9397-08002B2CF9AE}" pid="17" name="LAWYER">
    <vt:lpwstr>גיורא עדתו;עדי פורת;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32357</vt:lpwstr>
  </property>
  <property fmtid="{D5CDD505-2E9C-101B-9397-08002B2CF9AE}" pid="24" name="NEWPARTB">
    <vt:lpwstr>08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380020131218</vt:lpwstr>
  </property>
  <property fmtid="{D5CDD505-2E9C-101B-9397-08002B2CF9AE}" pid="36" name="TYPE_N_DATE">
    <vt:lpwstr>38020131218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