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אלול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תשע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ספטמבר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2017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</w:rPr>
                <w:t>32560-12-16</w:t>
              </w:r>
            </w:hyperlink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אלסראיעה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7507/16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יעקובי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עיס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ם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בן עטוה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אלסראיעה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אלעטאונה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פרק 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bookmarkStart w:id="6" w:name="ABSTRACT_START"/>
      <w:bookmarkEnd w:id="6"/>
      <w:r>
        <w:rPr>
          <w:rFonts w:ascii="Arial" w:hAnsi="Arial" w:cs="Arial"/>
          <w:b/>
          <w:b/>
          <w:bCs/>
          <w:rtl w:val="true"/>
        </w:rPr>
        <w:t>כתב האישום והסדר הטיעון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Arial" w:hAnsi="Arial" w:cs="Arial"/>
          <w:rtl w:val="true"/>
        </w:rPr>
        <w:t>הנאשם שלפני נותן את הדין בגין ביצוע עבירות של רכישה ואחזקה של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</w:t>
      </w:r>
      <w:r>
        <w:rPr>
          <w:rFonts w:ascii="Calibri" w:hAnsi="Calibri" w:cs="Calibri"/>
          <w:rtl w:val="true"/>
        </w:rPr>
        <w:t>ל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נסיון לאחזקת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בניגוד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ביחד עם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לאותו 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 לעובדות כתב האישום המתוקן כא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בהן הודה הנאשם במסגרת הסדר 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בהיותו אזרח ישראלי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תושב הישוב חורה בנגב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רכש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 שאינו ידוע במדויק לתביעה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מאדם 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שזהותו לא בוררה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אקדח חצי אוטומטי מסוג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ברטה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 xml:space="preserve">קליבר </w:t>
      </w:r>
      <w:r>
        <w:rPr>
          <w:rFonts w:cs="Calibri" w:ascii="Calibri" w:hAnsi="Calibri"/>
        </w:rPr>
        <w:t>LR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מספר סידורי </w:t>
      </w:r>
      <w:r>
        <w:rPr>
          <w:rFonts w:cs="Calibri" w:ascii="Calibri" w:hAnsi="Calibri"/>
        </w:rPr>
        <w:t>A87692U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כן רכש תת מקלע מאולתר המכונה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קרל גוסטב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 xml:space="preserve">הכל בתמורה לסך בן </w:t>
      </w:r>
      <w:r>
        <w:rPr>
          <w:rFonts w:cs="Calibri" w:ascii="Calibri" w:hAnsi="Calibri"/>
        </w:rPr>
        <w:t>11,000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start"/>
        <w:rPr/>
      </w:pPr>
      <w:r>
        <w:rPr>
          <w:rFonts w:ascii="Calibri" w:hAnsi="Calibri" w:cs="Calibri"/>
          <w:rtl w:val="true"/>
        </w:rPr>
        <w:t>את כלי הנשק החזיק הנאשם בביתו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האקדח הוחזק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ביחד עם שתי מחסניות ובכל אחת מהן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כדורים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בתוך גרב הנתונה בקופסת נעליים בארון בחדר השינה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תת המקלע הוחזק מכוסה במגבת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מתחת לארון בחדר השינה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br/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כלי הנשק והתחמושת הוחזקו על ידי הנאשם שלא כדין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האקדח שהוחזק על ידו היה ללא הנוקר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 שלא היה כשיר לירי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מפאת העובדה שהאקדח נתפס ללא הנוקר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תוקן כתב האישום כך שהנאשם הורשע בגין אחזקתו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בעבירת נסיון 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ואילו בגין אחזקת תת המקלע והתחמושת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בעבירה מוגמרת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בין הצדדים נקשר הסדר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 תוקן כתב האישום כאמור לעיל והנאשם הופנה לחקירת שירות המבחן למבוגרים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ההסדר לא כלל הסכמות ענשיות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ראיות לעונש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מי מהצדדים לא הגיש ראיות לעונש בתיק 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הערכת שירות המבחן למבוגרים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בענינו של  הנאשם הוגש 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המפרט את נסיבותיו האישיות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כבן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סיים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לימוד במגמת מכונאות רכב וטרם מעצרו עבד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בהתקנת מתקנים בגני שעשועים בעיר ראשל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לדברי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זכה לתמיכה משפחתית וחי ברווחה כלכלית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מסר לשירות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רכש את כלי הנשק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לשם חיזוק בטחונו וגבריותו מול חבריו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וכי לא תכנן להשתמש 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 למכור אותו בחלוף זמן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 המבחן 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הנאשם עבר העבירות באופן מחושב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תכנון מהליכיו והשקעת מאמצים להשגת הנשק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 התרשם שירות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הגם שהנאשם נתקל במחירים הנלווים למעצר ולמעצר 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המחישו לו את חומרת 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עודנו נוטל אחריות באופן חלקי בלבד על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שמצמצם ומטשטש את 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 המבחן 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קיים פער בין התדמית הפסיבית אותה הציג אל מול יכולותיו בתכנון ובביצוע 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התקשה לשתף את שירות המבחן בעולמו הפנימי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רגשותיו ומחשבותיו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והתקשה לבחון באופן ביקורתי את התנהגותו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לנוכח כך שהנאשם שלל בעיתיות כלשהי בחייו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לא נמצא מקום לשלבו בהליך טיפולי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בסיומו של התסקיר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בא שירות המבחן בהמלצה להשית על הנאשם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עונש מוחשי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בדמות מאסר בפועל בדרך של 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בצד מאסר מותנה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טענות הצדדים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הגישה טענותיה לעונש בכתב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והשלימה הטיעון 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התביעה הדגישה הפוטנציאל הקטלני הקיים בעבירות של אחזקת נשק 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 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 בפן הביטחוני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הן בפן הפלילי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והן כלפי בני 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לרבות הילדים הקטינים שהתגוררו עם הנאשם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אחיו ואחיותיו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התביעה הדגישה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הנאשם החזיק תת מקלע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נשק ארוך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המסוגל לירות מספר רב של כדורים למרחק רב יחסית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ולו פוטנציאל קטלני משמעותי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התביעה ביקשה שלא ליחס משקל גבוה לעובדה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האקדח שנרכש על ידי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הוחזק במצב כשיר לירי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התביעה הדגישה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המדובר בעבירות מתוכננות וכי הנאשם שילם ממון רב לצורך השגת כלי הנשק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התביעה הדגישה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החזקת נשק בלתי חוקי מהווה בבחינת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מכת איזור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שהוכרה בפסיקה כמצדיקה החמרת הענישה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התביעה הדגישה את מדיניות ההחמרה בענישה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בתקופה האחרונה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בנוגע לעבירות דנן ועותרת למתחם ענישה כולל שינוע בין שנתיים ומחצה ועד ארבע שנות מאסר בגין העבירות שעבר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בצירוף מאסר מותנה מרתיע וקנס משמעותי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בענינו של הנאשם 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בהיעדר עבר פלילי מחד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ומאידך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כאשר הנאשם נמנע מליטול אחריות מלאה למעשיו ושירות המבחן לא בא בהמלצה טיפולית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עותרת התביעה למקם את ענשו בשליש 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התחתון של 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כי לא ברצפתו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לענין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הוסיפה התביעה והדגישה את כוונת הנאשם למכור את כלי הנשק בעתיד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כפי שעולה מדבריו בשירות המבחן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עותרת לאמץ המלצת שירות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עיבויה בעיצום כספי מרתיע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ההגנה 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מתחם הענישה נמוך מזה הנטען על ידי התביעה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ההגנה הדגישה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הנאשם הודה בעבירות עוד בחקירתו במשטרה ואף הודה בבית המשפט כבר בהליך הדיון המוקדם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ההגנה 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הנאשם מנהל חיים נורמטיביים וכי מטרת אחזקת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במקרה דנן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לא היתה פלילית או כנגד בטחון המדינה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בדברו האחרון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עשה את טעות חייו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כי כעת אינו עובד וכי הוא רווק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דיון והכרעה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אין צורך להכביר מילים על פוטנציאל הסיכון הנובע מאחזקת נשק חם קטלני ותחמושת חיה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 כדין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הנשק והתחמושת עלולים למצוא דרכם לפעילות שלילית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פלילית ואם כנגד בטחון המדינה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אחזקת נשק ותחמושת על ידי מי שלא נבדק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נמצא מתאים ולא הוכשר 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בתנאים שאינם מבטיחים בידודו של הנשק מהסביבה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כיום מי שמחזיק נשק ברשיון נדרש לאחסנו בכספת מאובטחת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מאחורי שני מנעולים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עלולה להביא לסיכון שלום 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אם אין ראיות שהוחזק לצורך פעילות שלילית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 לעיל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אחזקת נשק כאמור עלולה להביא לפגיעה בשלטון החוק ובנושאי שלטון 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המבצעים את תפקידם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בפסק הדין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3288/14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קריספל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במאגרים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נאמר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Aharoni"/>
        </w:rPr>
      </w:pPr>
      <w:r>
        <w:rPr>
          <w:rFonts w:ascii="Calibri" w:hAnsi="Calibri" w:cs="Aharoni"/>
          <w:rtl w:val="true"/>
        </w:rPr>
        <w:t>בשל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ההרס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הטמון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נשק</w:t>
      </w:r>
      <w:r>
        <w:rPr>
          <w:rFonts w:cs="Aharoni" w:ascii="Calibri" w:hAnsi="Calibri"/>
          <w:rtl w:val="true"/>
        </w:rPr>
        <w:t xml:space="preserve">, </w:t>
      </w:r>
      <w:r>
        <w:rPr>
          <w:rFonts w:ascii="Calibri" w:hAnsi="Calibri" w:cs="Aharoni"/>
          <w:rtl w:val="true"/>
        </w:rPr>
        <w:t>הכולל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אפשרות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עיוורת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באנשים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הישוב</w:t>
      </w:r>
      <w:r>
        <w:rPr>
          <w:rFonts w:cs="Aharoni" w:ascii="Calibri" w:hAnsi="Calibri"/>
          <w:rtl w:val="true"/>
        </w:rPr>
        <w:t xml:space="preserve">, </w:t>
      </w:r>
      <w:r>
        <w:rPr>
          <w:rFonts w:ascii="Calibri" w:hAnsi="Calibri" w:cs="Aharoni"/>
          <w:rtl w:val="true"/>
        </w:rPr>
        <w:t>מתפקידו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להרתיע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מפני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עבירת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כדין</w:t>
      </w:r>
      <w:r>
        <w:rPr>
          <w:rFonts w:cs="Aharoni" w:ascii="Calibri" w:hAnsi="Calibri"/>
          <w:rtl w:val="true"/>
        </w:rPr>
        <w:t xml:space="preserve">. </w:t>
      </w:r>
      <w:r>
        <w:rPr>
          <w:rFonts w:ascii="Calibri" w:hAnsi="Calibri" w:cs="Aharoni"/>
          <w:rtl w:val="true"/>
        </w:rPr>
        <w:t>זאת</w:t>
      </w:r>
      <w:r>
        <w:rPr>
          <w:rFonts w:cs="Aharoni" w:ascii="Calibri" w:hAnsi="Calibri"/>
          <w:rtl w:val="true"/>
        </w:rPr>
        <w:t xml:space="preserve">, </w:t>
      </w:r>
      <w:r>
        <w:rPr>
          <w:rFonts w:ascii="Calibri" w:hAnsi="Calibri" w:cs="Aharoni"/>
          <w:rtl w:val="true"/>
        </w:rPr>
        <w:t>כדי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לבלום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שרשרת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בשלב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ראשוני</w:t>
      </w:r>
      <w:r>
        <w:rPr>
          <w:rFonts w:cs="Aharon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בפסק הדין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במאגרים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נאמר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Aharoni"/>
        </w:rPr>
      </w:pPr>
      <w:r>
        <w:rPr>
          <w:rFonts w:cs="Aharoni" w:ascii="Calibri" w:hAnsi="Calibri"/>
          <w:rtl w:val="true"/>
        </w:rPr>
        <w:t xml:space="preserve">... </w:t>
      </w:r>
      <w:r>
        <w:rPr>
          <w:rFonts w:ascii="Calibri" w:hAnsi="Calibri" w:cs="Aharoni"/>
          <w:rtl w:val="true"/>
        </w:rPr>
        <w:t>התגלגלותם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פיקוח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עלולה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להוביל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להגעתם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לגורמים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פליליים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ועוינים</w:t>
      </w:r>
      <w:r>
        <w:rPr>
          <w:rFonts w:cs="Aharoni" w:ascii="Calibri" w:hAnsi="Calibri"/>
          <w:rtl w:val="true"/>
        </w:rPr>
        <w:t xml:space="preserve">. </w:t>
      </w:r>
      <w:r>
        <w:rPr>
          <w:rFonts w:ascii="Calibri" w:hAnsi="Calibri" w:cs="Aharoni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לדעת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יעלה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בגורלם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 </w:t>
      </w:r>
      <w:r>
        <w:rPr>
          <w:rFonts w:ascii="Calibri" w:hAnsi="Calibri" w:cs="Aharoni"/>
          <w:rtl w:val="true"/>
        </w:rPr>
        <w:t>ולאלו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תוצאות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הרסניות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יובילו</w:t>
      </w:r>
      <w:r>
        <w:rPr>
          <w:rFonts w:cs="Aharoni" w:ascii="Calibri" w:hAnsi="Calibri"/>
          <w:rtl w:val="true"/>
        </w:rPr>
        <w:t xml:space="preserve">. </w:t>
      </w:r>
      <w:r>
        <w:rPr>
          <w:rFonts w:ascii="Calibri" w:hAnsi="Calibri" w:cs="Aharoni"/>
          <w:rtl w:val="true"/>
        </w:rPr>
        <w:t>ודוק</w:t>
      </w:r>
      <w:r>
        <w:rPr>
          <w:rFonts w:cs="Aharoni" w:ascii="Calibri" w:hAnsi="Calibri"/>
          <w:rtl w:val="true"/>
        </w:rPr>
        <w:t xml:space="preserve">: </w:t>
      </w:r>
      <w:r>
        <w:rPr>
          <w:rFonts w:ascii="Calibri" w:hAnsi="Calibri" w:cs="Aharoni"/>
          <w:rtl w:val="true"/>
        </w:rPr>
        <w:t>הסיכון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שנשקף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צריך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להילקח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בחשבון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שמחזיק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בידו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כדין</w:t>
      </w:r>
      <w:r>
        <w:rPr>
          <w:rFonts w:cs="Aharoni" w:ascii="Calibri" w:hAnsi="Calibri"/>
          <w:rtl w:val="true"/>
        </w:rPr>
        <w:t xml:space="preserve">, </w:t>
      </w:r>
      <w:r>
        <w:rPr>
          <w:rFonts w:ascii="Calibri" w:hAnsi="Calibri" w:cs="Aharoni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אינו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למטרת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ביצוען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אחרות</w:t>
      </w:r>
      <w:r>
        <w:rPr>
          <w:rFonts w:cs="Aharoni" w:ascii="Calibri" w:hAnsi="Calibri"/>
          <w:rtl w:val="true"/>
        </w:rPr>
        <w:t xml:space="preserve">. </w:t>
      </w:r>
      <w:r>
        <w:rPr>
          <w:rFonts w:ascii="Calibri" w:hAnsi="Calibri" w:cs="Aharoni"/>
          <w:rtl w:val="true"/>
        </w:rPr>
        <w:t>עצם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קטילה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מבלי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שיש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ועל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פיקוח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מוסדר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הרשויות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טומן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בחובו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סיכון</w:t>
      </w:r>
      <w:r>
        <w:rPr>
          <w:rFonts w:cs="Aharoni" w:ascii="Calibri" w:hAnsi="Calibri"/>
          <w:rtl w:val="true"/>
        </w:rPr>
        <w:t xml:space="preserve">, </w:t>
      </w:r>
      <w:r>
        <w:rPr>
          <w:rFonts w:ascii="Calibri" w:hAnsi="Calibri" w:cs="Aharoni"/>
          <w:rtl w:val="true"/>
        </w:rPr>
        <w:t>באשר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נתון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תמיד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שיתפתה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לעשות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שימוש</w:t>
      </w:r>
      <w:r>
        <w:rPr>
          <w:rFonts w:cs="Aharoni" w:ascii="Calibri" w:hAnsi="Calibri"/>
          <w:rtl w:val="true"/>
        </w:rPr>
        <w:t xml:space="preserve">, </w:t>
      </w:r>
      <w:r>
        <w:rPr>
          <w:rFonts w:ascii="Calibri" w:hAnsi="Calibri" w:cs="Aharoni"/>
          <w:rtl w:val="true"/>
        </w:rPr>
        <w:t>ולו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ברגעי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לחץ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ופחד</w:t>
      </w:r>
      <w:r>
        <w:rPr>
          <w:rFonts w:cs="Aharon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בשורה של פסקי דין 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u w:val="single"/>
          <w:rtl w:val="true"/>
        </w:rPr>
        <w:t>חומרת הסיכון הנשקף מעבירות אלה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מחייבת השתת עונשי מאסר בפועל בגין עבירות אלה וזאת גם כאשר המדובר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לכאורה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במי שמנהל אורח חיים נורמטיבי ואין לחובתו הרשעות קודמות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ראו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2718/04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 דאחל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במאגרים</w:t>
      </w:r>
      <w:r>
        <w:rPr>
          <w:rFonts w:cs="Calibri" w:ascii="Calibri" w:hAnsi="Calibri"/>
          <w:rtl w:val="true"/>
        </w:rPr>
        <w:t>):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Aharoni"/>
        </w:rPr>
      </w:pPr>
      <w:r>
        <w:rPr>
          <w:rFonts w:ascii="Calibri" w:hAnsi="Calibri" w:cs="Aharoni"/>
          <w:rtl w:val="true"/>
        </w:rPr>
        <w:t>יוער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הסכנה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הטמונה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החמורה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מצדיקה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הטלת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עונשי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לריצוי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בפועל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שזו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עבירתו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הראשונה</w:t>
      </w:r>
      <w:r>
        <w:rPr>
          <w:rFonts w:cs="Aharoni" w:ascii="Calibri" w:hAnsi="Calibri"/>
          <w:rtl w:val="true"/>
        </w:rPr>
        <w:t xml:space="preserve">. </w:t>
      </w:r>
      <w:r>
        <w:rPr>
          <w:rFonts w:ascii="Calibri" w:hAnsi="Calibri" w:cs="Aharoni"/>
          <w:rtl w:val="true"/>
        </w:rPr>
        <w:t>בבוא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לשקול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מסוג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זה</w:t>
      </w:r>
      <w:r>
        <w:rPr>
          <w:rFonts w:cs="Aharoni" w:ascii="Calibri" w:hAnsi="Calibri"/>
          <w:rtl w:val="true"/>
        </w:rPr>
        <w:t xml:space="preserve">, </w:t>
      </w:r>
      <w:r>
        <w:rPr>
          <w:rFonts w:ascii="Calibri" w:hAnsi="Calibri" w:cs="Aharoni"/>
          <w:rtl w:val="true"/>
        </w:rPr>
        <w:t>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לתת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משקל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נכבד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יותר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לאינטרס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הציבורי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ולצורך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להרתיע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עבריינים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בכוח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מלבצע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דומות</w:t>
      </w:r>
      <w:r>
        <w:rPr>
          <w:rFonts w:cs="Aharoni" w:ascii="Calibri" w:hAnsi="Calibri"/>
          <w:rtl w:val="true"/>
        </w:rPr>
        <w:t xml:space="preserve">, </w:t>
      </w:r>
      <w:r>
        <w:rPr>
          <w:rFonts w:ascii="Calibri" w:hAnsi="Calibri" w:cs="Aharoni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פני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האישיות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העבריין</w:t>
      </w:r>
      <w:r>
        <w:rPr>
          <w:rFonts w:cs="Aharon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Aharoni"/>
        </w:rPr>
      </w:pPr>
      <w:r>
        <w:rPr>
          <w:rFonts w:cs="Aharon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עוד ראו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5220/09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עוואודה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במאגרים</w:t>
      </w:r>
      <w:r>
        <w:rPr>
          <w:rFonts w:cs="Calibri" w:ascii="Calibri" w:hAnsi="Calibri"/>
          <w:rtl w:val="true"/>
        </w:rPr>
        <w:t>):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Aharoni"/>
        </w:rPr>
      </w:pPr>
      <w:r>
        <w:rPr>
          <w:rFonts w:ascii="Calibri" w:hAnsi="Calibri" w:cs="Aharoni"/>
          <w:rtl w:val="true"/>
        </w:rPr>
        <w:t>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משכבר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נקבע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הכלל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לפיו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ככלל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לאסור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המבצעים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זו</w:t>
      </w:r>
      <w:r>
        <w:rPr>
          <w:rFonts w:cs="Aharoni" w:ascii="Calibri" w:hAnsi="Calibri"/>
          <w:rtl w:val="true"/>
        </w:rPr>
        <w:t xml:space="preserve">, </w:t>
      </w:r>
      <w:r>
        <w:rPr>
          <w:rFonts w:ascii="Calibri" w:hAnsi="Calibri" w:cs="Aharoni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מדובר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ראשונה</w:t>
      </w:r>
      <w:r>
        <w:rPr>
          <w:rFonts w:cs="Aharoni" w:ascii="Calibri" w:hAnsi="Calibri"/>
          <w:rtl w:val="true"/>
        </w:rPr>
        <w:t xml:space="preserve">, </w:t>
      </w:r>
      <w:r>
        <w:rPr>
          <w:rFonts w:ascii="Calibri" w:hAnsi="Calibri" w:cs="Aharoni"/>
          <w:rtl w:val="true"/>
        </w:rPr>
        <w:t>מאחורי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סורג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ובריח</w:t>
      </w:r>
      <w:r>
        <w:rPr>
          <w:rFonts w:cs="Aharoni" w:ascii="Calibri" w:hAnsi="Calibri"/>
          <w:rtl w:val="true"/>
        </w:rPr>
        <w:t xml:space="preserve">, </w:t>
      </w:r>
      <w:r>
        <w:rPr>
          <w:rFonts w:ascii="Calibri" w:hAnsi="Calibri" w:cs="Aharoni"/>
          <w:rtl w:val="true"/>
        </w:rPr>
        <w:t>ואילו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אורך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התקופה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כלול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בנסיבות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הספציפיות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העושה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Aharoni"/>
          <w:rtl w:val="true"/>
        </w:rPr>
        <w:t>והמעשה</w:t>
      </w:r>
      <w:r>
        <w:rPr>
          <w:rFonts w:cs="Aharon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אשר למתחם 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בפסק הדין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23419-01-17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זניד ואח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פורסם במאגרים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נדון ערעור המדינה בענינם של שני משיבים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האחד נתפס מחזיק אקדח בקוטר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מ ביחד עם מחסנית ובה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וכן רובה סער מאולתר דמוי </w:t>
      </w:r>
      <w:r>
        <w:rPr>
          <w:rFonts w:cs="Calibri" w:ascii="Calibri" w:hAnsi="Calibri"/>
        </w:rPr>
        <w:t>M16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עם מחסנית ובה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השני נתפס מחזיק בשני אקדחים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כן בצירוף 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משפט קמא קבע מתחם ענישה שינוע בין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עד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חדשי מאסר בפועל בנוגע למשיב שהחזיק את שני האקדחים ומתחם שינוע בין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עד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חדשי מאסר בפועל בנוגע למשיב שהחזיק אקדח ורובה סער מאולתר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ערעור המדינה התקבל בהסכמת 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שהוחמרו עונשי המאסר שהושתו על המשיבים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חדשי מאסר בפועל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בהתאמה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בית המשפט המחוזי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בשבתו כבית משפט לערעורים פליליים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 מצא 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u w:val="single"/>
          <w:rtl w:val="true"/>
        </w:rPr>
        <w:t>המתחמים שנקבעו על ידי בית משפט השלום נמוכים יתר על המידה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בעקבות החלטת בית המשפט המחוזי בערעור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במקרה נוסף שנדון בסמוך לאחר 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קבע בית משפט השלום מתחם ענישה שינוע בין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עד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חדשי מאסר בפועל בגין אחזקת כלי נשק מאולתר אחד מסוג תת מקלע בצירוף מחסנית ובה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ראו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7544-11-16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אלאסד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במאגרים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באותו 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הושת על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 עבר פלילי שאינו מכביד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עונש מאסר בפועל בן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ערעור שהוגש על גזר הדין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נדחה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ואף נקבע על ידי בית המשפט המחוזי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בשבתו כבית משפט לערעורים פליליים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העונש עומד במתחם ענישה ראוי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ראו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22885-05-17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אלאסד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במאגרים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בפסק הדין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במאגרים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 xml:space="preserve">אושר מתחם ענישה שינוע בין שנה ועד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 אחזקת כלי נשק  בודד מסוג קרל גוסטב וכן מחסנית וכדורים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אף באותו 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המדובר היה בצעיר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ניהל אורח חיים 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כולל לימודים אקדמאיים בפקולטה לאדריכלות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 עבר 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 באותו 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המליץ שירות המבחן להסתפק בעונש מאסר בפועל לריצוי בדרך של עבודות 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בית המשפט העליון 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ראוי לקבוע ענשים מרתיעים בגין עבירות אלה והעמיד המתחם שם בין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ועד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באותו מקרה הורשע המשיב גם בעבירה חמורה 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 נשיאת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בניגוד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 </w:t>
      </w:r>
      <w:r>
        <w:rPr/>
        <w:t>9.16</w:t>
      </w:r>
      <w:r>
        <w:rPr>
          <w:rtl w:val="true"/>
        </w:rPr>
        <w:t xml:space="preserve"> 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07/08/16</w:t>
      </w:r>
      <w:r>
        <w:rPr>
          <w:rtl w:val="true"/>
        </w:rPr>
        <w:t xml:space="preserve">)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במיגורן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הוצבה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הנחיה</w:t>
      </w:r>
      <w:r>
        <w:rPr>
          <w:rtl w:val="true"/>
        </w:rPr>
        <w:t xml:space="preserve">, </w:t>
      </w:r>
      <w:r>
        <w:rPr>
          <w:rtl w:val="true"/>
        </w:rPr>
        <w:t>הונחתה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;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מזומנות</w:t>
      </w:r>
      <w:r>
        <w:rPr>
          <w:rtl w:val="true"/>
        </w:rPr>
        <w:t xml:space="preserve">,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ההנחיה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/>
        <w:t>563</w:t>
      </w:r>
      <w:r>
        <w:rPr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התקבל כחלק מתיקון 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39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לאותו חוק משנת תשנ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ד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הושווה ענשו של המנסה לעבור עבירה לעונש שיוטל על מי שעבר העבירה המוגמרת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למעט אם נקבע אחרת בחיקוק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חיווה המחוקק דעתו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אין מקום להקלה בעונש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העבירה לא הושלמה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כשמבחינת הנאשם 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הכוונה היתה לעבור עבירה מושלמת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הנוקר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הנוקר</w:t>
      </w:r>
      <w:r>
        <w:rPr>
          <w:rtl w:val="true"/>
        </w:rPr>
        <w:t xml:space="preserve">,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Style15"/>
        <w:numPr>
          <w:ilvl w:val="0"/>
          <w:numId w:val="2"/>
        </w:numPr>
        <w:ind w:hanging="360" w:start="720" w:end="0"/>
        <w:jc w:val="start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Style15"/>
        <w:numPr>
          <w:ilvl w:val="0"/>
          <w:numId w:val="2"/>
        </w:numPr>
        <w:ind w:hanging="360" w:start="720" w:end="0"/>
        <w:jc w:val="start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;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Style15"/>
        <w:numPr>
          <w:ilvl w:val="0"/>
          <w:numId w:val="2"/>
        </w:numPr>
        <w:ind w:hanging="360" w:start="720" w:end="0"/>
        <w:jc w:val="start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Style15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,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הספציפית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b/>
          <w:bCs/>
          <w:rtl w:val="true"/>
        </w:rPr>
        <w:t xml:space="preserve">: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גבריותו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"),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נוקט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בעמדה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מצמצמת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ומטשטשת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ונמנע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מלשתף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במחשבותיו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ובשיקוליו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מגבת</w:t>
      </w:r>
      <w:r>
        <w:rPr>
          <w:rtl w:val="true"/>
        </w:rPr>
        <w:t xml:space="preserve">, </w:t>
      </w:r>
      <w:r>
        <w:rPr>
          <w:rtl w:val="true"/>
        </w:rPr>
        <w:t>חבואים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תמימה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גבריות</w:t>
      </w:r>
      <w:r>
        <w:rPr>
          <w:rtl w:val="true"/>
        </w:rPr>
        <w:t xml:space="preserve">" </w:t>
      </w:r>
      <w:r>
        <w:rPr>
          <w:rtl w:val="true"/>
        </w:rPr>
        <w:t>והדימוי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וחבוי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;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 xml:space="preserve">;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. </w:t>
      </w:r>
      <w:r>
        <w:rPr>
          <w:rtl w:val="true"/>
        </w:rPr>
        <w:t>ההיפך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ברווחה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כשלהי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במחשבותיו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ind w:hanging="360" w:start="720" w:end="0"/>
        <w:jc w:val="start"/>
        <w:rPr/>
      </w:pP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;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ind w:hanging="360" w:start="720" w:end="0"/>
        <w:jc w:val="start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,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פרק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סימן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למעט עבירה בניגוד 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סיפא לאותו חוק</w:t>
      </w:r>
      <w:r>
        <w:rPr>
          <w:rFonts w:cs="Calibri" w:ascii="Calibri" w:hAnsi="Calibri"/>
          <w:rtl w:val="true"/>
        </w:rPr>
        <w:t>;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Style15"/>
        <w:numPr>
          <w:ilvl w:val="0"/>
          <w:numId w:val="1"/>
        </w:numPr>
        <w:ind w:hanging="360" w:start="720" w:end="0"/>
        <w:jc w:val="start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חדשי מאסר על תנאי 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מיום שחרורו של הנאשם ממאסרו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 לא יעבור עבירה בניגוד ל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,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סיפא או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186</w:t>
        </w:r>
      </w:hyperlink>
      <w:r>
        <w:rPr>
          <w:rFonts w:cs="Calibri" w:ascii="Calibri" w:hAnsi="Calibri"/>
          <w:rtl w:val="true"/>
        </w:rPr>
        <w:t>;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Style15"/>
        <w:numPr>
          <w:ilvl w:val="0"/>
          <w:numId w:val="1"/>
        </w:numPr>
        <w:ind w:hanging="360" w:start="720"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קנס בסך </w:t>
      </w:r>
      <w:r>
        <w:rPr>
          <w:rFonts w:cs="Calibri" w:ascii="Calibri" w:hAnsi="Calibri"/>
        </w:rPr>
        <w:t>12,000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cs="Calibri" w:ascii="Calibri" w:hAnsi="Calibri"/>
        </w:rPr>
        <w:t>75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 מאסר 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הקנס ישולם עד ליום </w:t>
      </w:r>
      <w:r>
        <w:rPr>
          <w:rFonts w:cs="Calibri" w:ascii="Calibri" w:hAnsi="Calibri"/>
        </w:rPr>
        <w:t>11/12/17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יתיצב לריצוי ענשו כעת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276" w:before="0" w:after="160"/>
        <w:ind w:end="0"/>
        <w:jc w:val="start"/>
        <w:rPr/>
      </w:pPr>
      <w:r>
        <w:rPr>
          <w:rFonts w:cs="Calibri" w:ascii="Calibri" w:hAnsi="Calibri"/>
          <w:color w:val="FFFFFF"/>
          <w:sz w:val="2"/>
          <w:szCs w:val="2"/>
        </w:rPr>
        <w:t>5129371</w:t>
      </w:r>
      <w:r>
        <w:rPr>
          <w:rFonts w:ascii="Calibri" w:hAnsi="Calibri" w:cs="Calibri"/>
          <w:rtl w:val="true"/>
        </w:rPr>
        <w:t>עותק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למבוגרים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76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color w:val="FFFFFF"/>
          <w:sz w:val="2"/>
          <w:szCs w:val="2"/>
        </w:rPr>
        <w:t>54678313</w:t>
      </w:r>
      <w:r>
        <w:rPr>
          <w:rFonts w:ascii="Calibri" w:hAnsi="Calibri" w:cs="Calibri"/>
          <w:rtl w:val="true"/>
        </w:rPr>
        <w:t>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ניתנה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   </w:t>
      </w:r>
    </w:p>
    <w:p>
      <w:pPr>
        <w:pStyle w:val="Normal"/>
        <w:spacing w:lineRule="auto" w:line="360"/>
        <w:ind w:firstLine="720" w:start="3600"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8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32560-12-16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עיסאם בן עטוה אלסראיעה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5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77827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34d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86" TargetMode="External"/><Relationship Id="rId9" Type="http://schemas.openxmlformats.org/officeDocument/2006/relationships/hyperlink" Target="http://www.nevo.co.il/law/70301/aS" TargetMode="External"/><Relationship Id="rId10" Type="http://schemas.openxmlformats.org/officeDocument/2006/relationships/hyperlink" Target="http://www.nevo.co.il/law/70301/hCaS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case/16913730" TargetMode="External"/><Relationship Id="rId16" Type="http://schemas.openxmlformats.org/officeDocument/2006/relationships/hyperlink" Target="http://www.nevo.co.il/case/7791493" TargetMode="External"/><Relationship Id="rId17" Type="http://schemas.openxmlformats.org/officeDocument/2006/relationships/hyperlink" Target="http://www.nevo.co.il/case/5852404" TargetMode="External"/><Relationship Id="rId18" Type="http://schemas.openxmlformats.org/officeDocument/2006/relationships/hyperlink" Target="http://www.nevo.co.il/case/6000182" TargetMode="External"/><Relationship Id="rId19" Type="http://schemas.openxmlformats.org/officeDocument/2006/relationships/hyperlink" Target="http://www.nevo.co.il/case/22112345" TargetMode="External"/><Relationship Id="rId20" Type="http://schemas.openxmlformats.org/officeDocument/2006/relationships/hyperlink" Target="http://www.nevo.co.il/case/22001830" TargetMode="External"/><Relationship Id="rId21" Type="http://schemas.openxmlformats.org/officeDocument/2006/relationships/hyperlink" Target="http://www.nevo.co.il/case/22607175" TargetMode="External"/><Relationship Id="rId22" Type="http://schemas.openxmlformats.org/officeDocument/2006/relationships/hyperlink" Target="http://www.nevo.co.il/case/7791493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4d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hCaS" TargetMode="External"/><Relationship Id="rId29" Type="http://schemas.openxmlformats.org/officeDocument/2006/relationships/hyperlink" Target="http://www.nevo.co.il/law/70301/aS" TargetMode="External"/><Relationship Id="rId3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law/70301/186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2018-05-24T14:18:00Z</dcterms:created>
  <dc:creator> </dc:creator>
  <dc:description/>
  <cp:keywords/>
  <dc:language>en-IL</dc:language>
  <cp:lastModifiedBy>run</cp:lastModifiedBy>
  <dcterms:modified xsi:type="dcterms:W3CDTF">2018-05-24T14:18:00Z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עיסאם בן עטוה אלסראיעה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21778276;16913730;7791493:2;5852404;6000182;22112345;22001830;22607175</vt:lpwstr>
  </property>
  <property fmtid="{D5CDD505-2E9C-101B-9397-08002B2CF9AE}" pid="9" name="CITY">
    <vt:lpwstr>ב"ש</vt:lpwstr>
  </property>
  <property fmtid="{D5CDD505-2E9C-101B-9397-08002B2CF9AE}" pid="10" name="DATE">
    <vt:lpwstr>20170911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70301/144.a:4;025;144.b;034d;hCaS;aS;186</vt:lpwstr>
  </property>
  <property fmtid="{D5CDD505-2E9C-101B-9397-08002B2CF9AE}" pid="15" name="LAWYER">
    <vt:lpwstr>ברוך יעקובי;נאסר אלעטאונה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32560</vt:lpwstr>
  </property>
  <property fmtid="{D5CDD505-2E9C-101B-9397-08002B2CF9AE}" pid="22" name="NEWPARTB">
    <vt:lpwstr>12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380020170911</vt:lpwstr>
  </property>
  <property fmtid="{D5CDD505-2E9C-101B-9397-08002B2CF9AE}" pid="34" name="TYPE_N_DATE">
    <vt:lpwstr>38020170911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