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ניסן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אפריל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2014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32637-10-10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נבארי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30083/09-7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עואד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נבארי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פרקים 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 w:eastAsia="en-US"/>
              </w:rPr>
            </w:r>
            <w:bookmarkStart w:id="7" w:name="PsakDin"/>
            <w:bookmarkStart w:id="8" w:name="PsakDin"/>
            <w:bookmarkEnd w:id="8"/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מבוא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והשתלשלות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ההליכים</w:t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bookmarkStart w:id="9" w:name="ABSTRACT_START"/>
      <w:bookmarkEnd w:id="9"/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בניגוד</w:t>
      </w:r>
      <w:r>
        <w:rPr>
          <w:rFonts w:cs="Times New Roman"/>
          <w:rtl w:val="true"/>
          <w:lang w:val="en-US" w:eastAsia="en-US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  <w:lang w:val="en-US" w:eastAsia="en-US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8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שאירע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04.04.2009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בסמה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נבארי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שוטרי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בבסיס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שוקת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שהדיונים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בתחילת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לטיפולו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תחילה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הודיעה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בחלוף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מכפירתו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2004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מוסא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נבארי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לאתנן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ברשותו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ההסדר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לחקירת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למבוגרים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הציגו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עֹנשית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מוסכמת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ישקלו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העֹנשית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התסקיר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תסקיר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המבחן</w:t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הוגש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12.01.2014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מהתסקיר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פוליגמית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לששה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מצפה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לילד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השביעי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התסקיר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בהיותו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העשרה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למחיתו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נשואיו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קבועה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מסודרת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מזדמנות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מקצבת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סיפר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כלשהן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כערבון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להלוואה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שהעניק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ההלוואה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בקורתי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התרשם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ועיבד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בנטילת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ההשלכות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הפוטנציאליות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ויעביר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המליץ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טעוני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הצדדים</w:t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התסקיר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לדחית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במועד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הנדחה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שהובאה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בטעוניה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עותרת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הממשי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המחיב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המציאות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הבטחונית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המורכבת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במחוזותינו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מחיבים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לשטתה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מרתיע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צירפה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מתאימה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עיקרי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עותרת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מחשד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בחקירת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שהתנהלה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כלשהן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דפוסים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יסורי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מצפון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ומתביש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בתחושותיו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עותרת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בהשתת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שצירפה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התומכת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בשטתה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בדברו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מצטער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שעשתה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הספר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דיון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והכרעה</w:t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עוינות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בטחונית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' </w:t>
      </w:r>
      <w:hyperlink r:id="rId9">
        <w:r>
          <w:rPr>
            <w:rStyle w:val="Hyperlink"/>
            <w:color w:val="0000FF"/>
            <w:u w:val="single"/>
            <w:rtl w:val="true"/>
            <w:lang w:val="en-US" w:eastAsia="en-US"/>
          </w:rPr>
          <w:t>בש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2304/02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רובין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אחזקתו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פיקוח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השלטונות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מקימה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' </w:t>
      </w:r>
      <w:hyperlink r:id="rId10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color w:val="0000FF"/>
            <w:u w:val="single"/>
            <w:lang w:val="en-US" w:eastAsia="en-US"/>
          </w:rPr>
          <w:t>3300/06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אבוסנינה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הרתעה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אפקטיבית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מחיבים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</w:t>
      </w:r>
      <w:r>
        <w:rPr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הנסיבות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האישיות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נדחות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בפני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שיקולים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אלה</w:t>
      </w:r>
      <w:r>
        <w:rPr>
          <w:u w:val="single"/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' </w:t>
      </w:r>
      <w:hyperlink r:id="rId11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color w:val="0000FF"/>
            <w:u w:val="single"/>
            <w:lang w:val="en-US" w:eastAsia="en-US"/>
          </w:rPr>
          <w:t>1332/04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פס</w:t>
      </w:r>
      <w:r>
        <w:rPr>
          <w:rtl w:val="true"/>
          <w:lang w:val="en-US" w:eastAsia="en-US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color w:val="0000FF"/>
            <w:u w:val="single"/>
            <w:lang w:val="en-US" w:eastAsia="en-US"/>
          </w:rPr>
          <w:t>4831/08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באכר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; </w:t>
      </w:r>
      <w:hyperlink r:id="rId13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color w:val="0000FF"/>
            <w:u w:val="single"/>
            <w:lang w:val="en-US" w:eastAsia="en-US"/>
          </w:rPr>
          <w:t>8012/04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מתאני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מחיבות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ענישה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מאחורי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סורג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ובריח</w:t>
      </w:r>
      <w:r>
        <w:rPr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וזאת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גם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כאשר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המדובר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בעבירה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ראשונה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וחרף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מיוחדות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' </w:t>
      </w:r>
      <w:hyperlink r:id="rId14">
        <w:r>
          <w:rPr>
            <w:rStyle w:val="Hyperlink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2718/04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פואד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' </w:t>
      </w:r>
      <w:hyperlink r:id="rId15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color w:val="0000FF"/>
            <w:u w:val="single"/>
            <w:lang w:val="en-US" w:eastAsia="en-US"/>
          </w:rPr>
          <w:t>5220/09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עוואודה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צטוט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1643" w:end="1701"/>
        <w:jc w:val="start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משכבר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נקבע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הכלל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לפיו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ככלל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לאסור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המבצעים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ראשונה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מאחורי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סורג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ובריח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ואילו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כרוך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הספציפיות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העושה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והמעשה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6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113</w:t>
      </w:r>
      <w:r>
        <w:rPr>
          <w:rtl w:val="true"/>
          <w:lang w:val="en-US" w:eastAsia="en-US"/>
        </w:rPr>
        <w:t xml:space="preserve">"),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יחיד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בכליאה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hyperlink r:id="rId17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color w:val="0000FF"/>
            <w:u w:val="single"/>
            <w:lang w:val="en-US" w:eastAsia="en-US"/>
          </w:rPr>
          <w:t>4945/13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סלימאן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2014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' </w:t>
      </w:r>
      <w:hyperlink r:id="rId18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color w:val="0000FF"/>
            <w:u w:val="single"/>
            <w:lang w:val="en-US" w:eastAsia="en-US"/>
          </w:rPr>
          <w:t>2892/13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עודתאללה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2013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שקדמה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כדוגמת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שהובאה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והצטוט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קביעת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הספציפית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נעוצה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אחזקתו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אינדיקציה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שלילית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בטחונית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שבוצעה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כעולה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שהובאו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הרתעת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זליגת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יסכן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והנה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וגידים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שבִּתו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מולדת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בֵּיתוֹ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גדלה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והתחנכה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נטלה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לרשותה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ליטול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בכפם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וילדים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הממתינים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לשובם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הגם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נותרו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בערפל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שמתכננת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לכיוון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שכן</w:t>
      </w:r>
      <w:r>
        <w:rPr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הסיכון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הפוטנציאלי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שעומד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בבסיס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מתחם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הענישה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שנקבע</w:t>
      </w:r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התממש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במקרה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דנן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באופן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החמור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והנורא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ביותר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כלשהי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וההיפך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יצוין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נוקשותו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תתפרש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דווקא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יתכן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חרף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התבטאותו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המילולית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מצטער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להתרשם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אמיתית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וכנה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שהביאוהו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שנרכש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ותקילין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מאוימים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כלשהי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לרכישתו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עלומה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שיפוטי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בשיקול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הכולל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גוברות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ובמצב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הבינוני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גבוה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כאן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' </w:t>
      </w:r>
      <w:hyperlink r:id="rId19">
        <w:r>
          <w:rPr>
            <w:rStyle w:val="Hyperlink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 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שבע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u w:val="single"/>
            <w:lang w:val="en-US" w:eastAsia="en-US"/>
          </w:rPr>
          <w:t>8132/09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מוסא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נבארי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עקרון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spacing w:val="10"/>
          <w:lang w:val="en-US" w:eastAsia="en-US"/>
        </w:rPr>
      </w:pPr>
      <w:r>
        <w:rPr>
          <w:spacing w:val="10"/>
          <w:rtl w:val="true"/>
          <w:lang w:val="en-US" w:eastAsia="en-US"/>
        </w:rPr>
        <w:t>כפי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שנקבע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ב</w:t>
      </w:r>
      <w:hyperlink r:id="rId20">
        <w:r>
          <w:rPr>
            <w:rStyle w:val="Hyperlink"/>
            <w:color w:val="0000FF"/>
            <w:spacing w:val="10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pacing w:val="10"/>
            <w:u w:val="single"/>
            <w:lang w:val="en-US" w:eastAsia="en-US"/>
          </w:rPr>
          <w:t>4450/11</w:t>
        </w:r>
      </w:hyperlink>
      <w:r>
        <w:rPr>
          <w:spacing w:val="10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עספור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(</w:t>
      </w:r>
      <w:r>
        <w:rPr>
          <w:spacing w:val="10"/>
          <w:lang w:val="en-US" w:eastAsia="en-US"/>
        </w:rPr>
        <w:t>8.2.2012</w:t>
      </w:r>
      <w:r>
        <w:rPr>
          <w:spacing w:val="10"/>
          <w:rtl w:val="true"/>
          <w:lang w:val="en-US" w:eastAsia="en-US"/>
        </w:rPr>
        <w:t>):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spacing w:val="10"/>
          <w:lang w:val="en-US" w:eastAsia="en-US"/>
        </w:rPr>
      </w:pPr>
      <w:r>
        <w:rPr>
          <w:spacing w:val="10"/>
          <w:rtl w:val="true"/>
          <w:lang w:val="en-US" w:eastAsia="en-US"/>
        </w:rPr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1642" w:end="1282"/>
        <w:jc w:val="both"/>
        <w:rPr>
          <w:rFonts w:ascii="Arial TUR;Arial" w:hAnsi="Arial TUR;Arial" w:cs="Arial TUR;Arial"/>
          <w:spacing w:val="10"/>
          <w:sz w:val="28"/>
          <w:szCs w:val="28"/>
          <w:lang w:val="en-US" w:eastAsia="en-US"/>
        </w:rPr>
      </w:pPr>
      <w:r>
        <w:rPr>
          <w:rFonts w:ascii="Arial TUR;Arial" w:hAnsi="Arial TUR;Arial" w:cs="Arial TUR;Arial"/>
          <w:spacing w:val="10"/>
          <w:sz w:val="28"/>
          <w:sz w:val="28"/>
          <w:szCs w:val="28"/>
          <w:rtl w:val="true"/>
          <w:lang w:val="en-US" w:eastAsia="en-US"/>
        </w:rPr>
        <w:t>מטרתו של עקרון זה הינה להבטיח את שוויונם של נאשמים בפני החוק ולמנוע שרירות בענישה</w:t>
      </w:r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 TUR;Arial" w:hAnsi="Arial TUR;Arial" w:cs="Arial TUR;Arial"/>
          <w:spacing w:val="10"/>
          <w:sz w:val="28"/>
          <w:sz w:val="28"/>
          <w:szCs w:val="28"/>
          <w:rtl w:val="true"/>
          <w:lang w:val="en-US" w:eastAsia="en-US"/>
        </w:rPr>
        <w:t xml:space="preserve">בענייננו ישנה חשיבות מוגברת לאחידות בענישה נוכח העובדה שמדובר בעבירות דומות שהן חלק מפרשה אחת </w:t>
      </w:r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>... (</w:t>
      </w:r>
      <w:r>
        <w:rPr>
          <w:rFonts w:ascii="Arial TUR;Arial" w:hAnsi="Arial TUR;Arial" w:cs="Arial TUR;Arial"/>
          <w:spacing w:val="10"/>
          <w:sz w:val="28"/>
          <w:sz w:val="28"/>
          <w:szCs w:val="28"/>
          <w:rtl w:val="true"/>
          <w:lang w:val="en-US" w:eastAsia="en-US"/>
        </w:rPr>
        <w:t>וראו גם</w:t>
      </w:r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 xml:space="preserve">, </w:t>
      </w:r>
      <w:hyperlink r:id="rId21"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sz w:val="28"/>
            <w:szCs w:val="28"/>
            <w:u w:val="single"/>
            <w:lang w:val="en-US" w:eastAsia="en-US"/>
          </w:rPr>
          <w:t>1142/11</w:t>
        </w:r>
      </w:hyperlink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סגיר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 TUR;Arial" w:hAnsi="Arial TUR;Arial" w:cs="Arial TUR;Arial"/>
          <w:spacing w:val="1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>(</w:t>
      </w:r>
      <w:r>
        <w:rPr>
          <w:rFonts w:cs="Arial TUR;Arial" w:ascii="Arial TUR;Arial" w:hAnsi="Arial TUR;Arial"/>
          <w:spacing w:val="10"/>
          <w:sz w:val="28"/>
          <w:szCs w:val="28"/>
          <w:lang w:val="en-US" w:eastAsia="en-US"/>
        </w:rPr>
        <w:t>8.2.2012</w:t>
      </w:r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 xml:space="preserve">); </w:t>
      </w:r>
      <w:hyperlink r:id="rId22"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sz w:val="28"/>
            <w:szCs w:val="28"/>
            <w:u w:val="single"/>
            <w:lang w:val="en-US" w:eastAsia="en-US"/>
          </w:rPr>
          <w:t>4600/12</w:t>
        </w:r>
      </w:hyperlink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יאשייב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 TUR;Arial" w:hAnsi="Arial TUR;Arial" w:cs="Arial TUR;Arial"/>
          <w:spacing w:val="1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>(</w:t>
      </w:r>
      <w:r>
        <w:rPr>
          <w:rFonts w:cs="Arial TUR;Arial" w:ascii="Arial TUR;Arial" w:hAnsi="Arial TUR;Arial"/>
          <w:spacing w:val="10"/>
          <w:sz w:val="28"/>
          <w:szCs w:val="28"/>
          <w:lang w:val="en-US" w:eastAsia="en-US"/>
        </w:rPr>
        <w:t>13.6.2012</w:t>
      </w:r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>)).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1642" w:end="1282"/>
        <w:jc w:val="both"/>
        <w:rPr>
          <w:rFonts w:ascii="Arial TUR;Arial" w:hAnsi="Arial TUR;Arial" w:cs="Arial TUR;Arial"/>
          <w:spacing w:val="10"/>
          <w:sz w:val="22"/>
          <w:szCs w:val="28"/>
          <w:lang w:val="en-US" w:eastAsia="en-US"/>
        </w:rPr>
      </w:pPr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spacing w:val="10"/>
          <w:lang w:val="en-US" w:eastAsia="en-US"/>
        </w:rPr>
      </w:pPr>
      <w:r>
        <w:rPr>
          <w:spacing w:val="10"/>
          <w:rtl w:val="true"/>
          <w:lang w:val="en-US" w:eastAsia="en-US"/>
        </w:rPr>
        <w:t>ואולם</w:t>
      </w:r>
      <w:r>
        <w:rPr>
          <w:spacing w:val="10"/>
          <w:rtl w:val="true"/>
          <w:lang w:val="en-US" w:eastAsia="en-US"/>
        </w:rPr>
        <w:t xml:space="preserve">, </w:t>
      </w:r>
      <w:r>
        <w:rPr>
          <w:spacing w:val="10"/>
          <w:rtl w:val="true"/>
          <w:lang w:val="en-US" w:eastAsia="en-US"/>
        </w:rPr>
        <w:t>עקרון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אחידות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הענישה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אינו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חזות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הכל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ומלאכת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קציבת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העונש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אינה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בגדר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תרגיל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מתימטי</w:t>
      </w:r>
      <w:r>
        <w:rPr>
          <w:spacing w:val="10"/>
          <w:rtl w:val="true"/>
          <w:lang w:val="en-US" w:eastAsia="en-US"/>
        </w:rPr>
        <w:t xml:space="preserve">, </w:t>
      </w:r>
      <w:r>
        <w:rPr>
          <w:spacing w:val="10"/>
          <w:rtl w:val="true"/>
          <w:lang w:val="en-US" w:eastAsia="en-US"/>
        </w:rPr>
        <w:t>ובלשון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אחרת</w:t>
      </w:r>
      <w:r>
        <w:rPr>
          <w:spacing w:val="10"/>
          <w:rtl w:val="true"/>
          <w:lang w:val="en-US" w:eastAsia="en-US"/>
        </w:rPr>
        <w:t>: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1642" w:end="1282"/>
        <w:jc w:val="both"/>
        <w:rPr>
          <w:rFonts w:ascii="Arial TUR;Arial" w:hAnsi="Arial TUR;Arial" w:cs="Arial TUR;Arial"/>
          <w:spacing w:val="10"/>
          <w:sz w:val="28"/>
          <w:szCs w:val="28"/>
          <w:lang w:val="en-US" w:eastAsia="en-US"/>
        </w:rPr>
      </w:pPr>
      <w:r>
        <w:rPr>
          <w:rFonts w:ascii="Arial TUR;Arial" w:hAnsi="Arial TUR;Arial" w:cs="Arial TUR;Arial"/>
          <w:spacing w:val="10"/>
          <w:sz w:val="22"/>
          <w:sz w:val="22"/>
          <w:szCs w:val="28"/>
          <w:rtl w:val="true"/>
          <w:lang w:val="en-US" w:eastAsia="en-US"/>
        </w:rPr>
        <w:t>עקרון אחידות הענישה אינו כלל הכרעה סופי ומוחלט</w:t>
      </w:r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spacing w:val="10"/>
          <w:sz w:val="22"/>
          <w:sz w:val="22"/>
          <w:szCs w:val="28"/>
          <w:rtl w:val="true"/>
          <w:lang w:val="en-US" w:eastAsia="en-US"/>
        </w:rPr>
        <w:t xml:space="preserve">מן </w:t>
      </w:r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  <w:t>'</w:t>
      </w:r>
      <w:r>
        <w:rPr>
          <w:rFonts w:ascii="Arial TUR;Arial" w:hAnsi="Arial TUR;Arial" w:cs="Arial TUR;Arial"/>
          <w:spacing w:val="10"/>
          <w:sz w:val="22"/>
          <w:sz w:val="22"/>
          <w:szCs w:val="28"/>
          <w:rtl w:val="true"/>
          <w:lang w:val="en-US" w:eastAsia="en-US"/>
        </w:rPr>
        <w:t>סרגל מכאני</w:t>
      </w:r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  <w:t xml:space="preserve">' </w:t>
      </w:r>
      <w:r>
        <w:rPr>
          <w:rFonts w:ascii="Arial TUR;Arial" w:hAnsi="Arial TUR;Arial" w:cs="Arial TUR;Arial"/>
          <w:spacing w:val="10"/>
          <w:sz w:val="22"/>
          <w:sz w:val="22"/>
          <w:szCs w:val="28"/>
          <w:rtl w:val="true"/>
          <w:lang w:val="en-US" w:eastAsia="en-US"/>
        </w:rPr>
        <w:t xml:space="preserve">שממנו אין לסטות </w:t>
      </w:r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  <w:t xml:space="preserve">... </w:t>
      </w:r>
      <w:r>
        <w:rPr>
          <w:rFonts w:ascii="Arial TUR;Arial" w:hAnsi="Arial TUR;Arial" w:cs="Arial TUR;Arial"/>
          <w:spacing w:val="10"/>
          <w:sz w:val="22"/>
          <w:sz w:val="22"/>
          <w:szCs w:val="28"/>
          <w:rtl w:val="true"/>
          <w:lang w:val="en-US" w:eastAsia="en-US"/>
        </w:rPr>
        <w:t xml:space="preserve">אין לבצע פעולת </w:t>
      </w:r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  <w:t>'</w:t>
      </w:r>
      <w:r>
        <w:rPr>
          <w:rFonts w:ascii="Arial TUR;Arial" w:hAnsi="Arial TUR;Arial" w:cs="Arial TUR;Arial"/>
          <w:spacing w:val="10"/>
          <w:sz w:val="22"/>
          <w:sz w:val="22"/>
          <w:szCs w:val="28"/>
          <w:rtl w:val="true"/>
          <w:lang w:val="en-US" w:eastAsia="en-US"/>
        </w:rPr>
        <w:t>העתק – הדבק</w:t>
      </w:r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  <w:t xml:space="preserve">' </w:t>
      </w:r>
      <w:r>
        <w:rPr>
          <w:rFonts w:ascii="Arial TUR;Arial" w:hAnsi="Arial TUR;Arial" w:cs="Arial TUR;Arial"/>
          <w:spacing w:val="10"/>
          <w:sz w:val="22"/>
          <w:sz w:val="22"/>
          <w:szCs w:val="28"/>
          <w:rtl w:val="true"/>
          <w:lang w:val="en-US" w:eastAsia="en-US"/>
        </w:rPr>
        <w:t>מנאשם בתיק אחד לנאשם בתיק אחר רק בשל עקרון אחידות הענישה</w:t>
      </w:r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  <w:t xml:space="preserve">. </w:t>
      </w:r>
      <w:r>
        <w:rPr>
          <w:rFonts w:ascii="Arial TUR;Arial" w:hAnsi="Arial TUR;Arial" w:cs="Arial TUR;Arial"/>
          <w:spacing w:val="10"/>
          <w:sz w:val="22"/>
          <w:sz w:val="22"/>
          <w:szCs w:val="28"/>
          <w:rtl w:val="true"/>
          <w:lang w:val="en-US" w:eastAsia="en-US"/>
        </w:rPr>
        <w:t>שומה על בית המשפט לשקול היטב את הנסיבות המיוחדות של נאשם ונאשם</w:t>
      </w:r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spacing w:val="10"/>
          <w:sz w:val="22"/>
          <w:sz w:val="22"/>
          <w:szCs w:val="28"/>
          <w:rtl w:val="true"/>
          <w:lang w:val="en-US" w:eastAsia="en-US"/>
        </w:rPr>
        <w:t xml:space="preserve">על מנת לחתור לענישה ההולמת את העבירה על פי אמות המידה המקובלות במשפטנו </w:t>
      </w:r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  <w:t>(</w:t>
      </w:r>
      <w:hyperlink r:id="rId23">
        <w:r>
          <w:rPr>
            <w:rStyle w:val="Hyperlink"/>
            <w:rFonts w:ascii="Arial TUR;Arial" w:hAnsi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sz w:val="22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sz w:val="22"/>
            <w:szCs w:val="28"/>
            <w:u w:val="single"/>
            <w:lang w:val="en-US" w:eastAsia="en-US"/>
          </w:rPr>
          <w:t>5195/11</w:t>
        </w:r>
      </w:hyperlink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קריניאן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 TUR;Arial" w:hAnsi="Arial TUR;Arial" w:cs="Arial TUR;Arial"/>
          <w:spacing w:val="1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>(</w:t>
      </w:r>
      <w:r>
        <w:rPr>
          <w:rFonts w:cs="Arial TUR;Arial" w:ascii="Arial TUR;Arial" w:hAnsi="Arial TUR;Arial"/>
          <w:spacing w:val="10"/>
          <w:sz w:val="28"/>
          <w:szCs w:val="28"/>
          <w:lang w:val="en-US" w:eastAsia="en-US"/>
        </w:rPr>
        <w:t>28.3.2012</w:t>
      </w:r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 xml:space="preserve">), </w:t>
      </w:r>
      <w:r>
        <w:rPr>
          <w:rFonts w:ascii="Arial TUR;Arial" w:hAnsi="Arial TUR;Arial" w:cs="Arial TUR;Arial"/>
          <w:spacing w:val="10"/>
          <w:sz w:val="28"/>
          <w:sz w:val="28"/>
          <w:szCs w:val="28"/>
          <w:rtl w:val="true"/>
          <w:lang w:val="en-US" w:eastAsia="en-US"/>
        </w:rPr>
        <w:t xml:space="preserve">וראו גם </w:t>
      </w:r>
      <w:hyperlink r:id="rId24"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sz w:val="28"/>
            <w:szCs w:val="28"/>
            <w:u w:val="single"/>
            <w:lang w:val="en-US" w:eastAsia="en-US"/>
          </w:rPr>
          <w:t>3117/12</w:t>
        </w:r>
      </w:hyperlink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ארביב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ascii="Arial TUR;Arial" w:hAnsi="Arial TUR;Arial" w:cs="Arial TUR;Arial"/>
          <w:spacing w:val="1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>(</w:t>
      </w:r>
      <w:r>
        <w:rPr>
          <w:rFonts w:cs="Arial TUR;Arial" w:ascii="Arial TUR;Arial" w:hAnsi="Arial TUR;Arial"/>
          <w:spacing w:val="10"/>
          <w:sz w:val="28"/>
          <w:szCs w:val="28"/>
          <w:lang w:val="en-US" w:eastAsia="en-US"/>
        </w:rPr>
        <w:t>6.9.2012</w:t>
      </w:r>
      <w:r>
        <w:rPr>
          <w:rFonts w:cs="Arial TUR;Arial" w:ascii="Arial TUR;Arial" w:hAnsi="Arial TUR;Arial"/>
          <w:spacing w:val="10"/>
          <w:sz w:val="28"/>
          <w:szCs w:val="28"/>
          <w:rtl w:val="true"/>
          <w:lang w:val="en-US" w:eastAsia="en-US"/>
        </w:rPr>
        <w:t>)).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1642" w:end="1282"/>
        <w:jc w:val="both"/>
        <w:rPr>
          <w:rFonts w:ascii="Arial TUR;Arial" w:hAnsi="Arial TUR;Arial" w:cs="Arial TUR;Arial"/>
          <w:spacing w:val="10"/>
          <w:sz w:val="22"/>
          <w:szCs w:val="28"/>
          <w:lang w:val="en-US" w:eastAsia="en-US"/>
        </w:rPr>
      </w:pPr>
      <w:r>
        <w:rPr>
          <w:rFonts w:cs="Arial TUR;Arial" w:ascii="Arial TUR;Arial" w:hAnsi="Arial TUR;Arial"/>
          <w:spacing w:val="10"/>
          <w:sz w:val="22"/>
          <w:szCs w:val="28"/>
          <w:rtl w:val="true"/>
          <w:lang w:val="en-US" w:eastAsia="en-US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spacing w:val="10"/>
          <w:lang w:val="en-US" w:eastAsia="en-US"/>
        </w:rPr>
      </w:pPr>
      <w:r>
        <w:rPr>
          <w:spacing w:val="10"/>
          <w:rtl w:val="true"/>
          <w:lang w:val="en-US" w:eastAsia="en-US"/>
        </w:rPr>
        <w:t>ועוד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נקבע</w:t>
      </w:r>
      <w:r>
        <w:rPr>
          <w:spacing w:val="10"/>
          <w:rtl w:val="true"/>
          <w:lang w:val="en-US" w:eastAsia="en-US"/>
        </w:rPr>
        <w:t xml:space="preserve">, </w:t>
      </w:r>
      <w:r>
        <w:rPr>
          <w:spacing w:val="10"/>
          <w:rtl w:val="true"/>
          <w:lang w:val="en-US" w:eastAsia="en-US"/>
        </w:rPr>
        <w:t>כי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כלל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אחידות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הענישה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הינו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שיקול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אחד</w:t>
      </w:r>
      <w:r>
        <w:rPr>
          <w:spacing w:val="10"/>
          <w:rtl w:val="true"/>
          <w:lang w:val="en-US" w:eastAsia="en-US"/>
        </w:rPr>
        <w:t xml:space="preserve">, </w:t>
      </w:r>
      <w:r>
        <w:rPr>
          <w:spacing w:val="10"/>
          <w:rtl w:val="true"/>
          <w:lang w:val="en-US" w:eastAsia="en-US"/>
        </w:rPr>
        <w:t>גם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אם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שיקול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ענישה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חשוב</w:t>
      </w:r>
      <w:r>
        <w:rPr>
          <w:spacing w:val="10"/>
          <w:rtl w:val="true"/>
          <w:lang w:val="en-US" w:eastAsia="en-US"/>
        </w:rPr>
        <w:t xml:space="preserve">, </w:t>
      </w:r>
      <w:r>
        <w:rPr>
          <w:spacing w:val="10"/>
          <w:u w:val="single"/>
          <w:rtl w:val="true"/>
          <w:lang w:val="en-US" w:eastAsia="en-US"/>
        </w:rPr>
        <w:t>מבין</w:t>
      </w:r>
      <w:r>
        <w:rPr>
          <w:rFonts w:cs="Times New Roman"/>
          <w:spacing w:val="10"/>
          <w:u w:val="single"/>
          <w:rtl w:val="true"/>
          <w:lang w:val="en-US" w:eastAsia="en-US"/>
        </w:rPr>
        <w:t xml:space="preserve"> </w:t>
      </w:r>
      <w:r>
        <w:rPr>
          <w:spacing w:val="10"/>
          <w:u w:val="single"/>
          <w:rtl w:val="true"/>
          <w:lang w:val="en-US" w:eastAsia="en-US"/>
        </w:rPr>
        <w:t>מכלול</w:t>
      </w:r>
      <w:r>
        <w:rPr>
          <w:rFonts w:cs="Times New Roman"/>
          <w:spacing w:val="10"/>
          <w:u w:val="single"/>
          <w:rtl w:val="true"/>
          <w:lang w:val="en-US" w:eastAsia="en-US"/>
        </w:rPr>
        <w:t xml:space="preserve"> </w:t>
      </w:r>
      <w:r>
        <w:rPr>
          <w:spacing w:val="10"/>
          <w:u w:val="single"/>
          <w:rtl w:val="true"/>
          <w:lang w:val="en-US" w:eastAsia="en-US"/>
        </w:rPr>
        <w:t>השיקולים</w:t>
      </w:r>
      <w:r>
        <w:rPr>
          <w:rFonts w:cs="Times New Roman"/>
          <w:spacing w:val="10"/>
          <w:u w:val="single"/>
          <w:rtl w:val="true"/>
          <w:lang w:val="en-US" w:eastAsia="en-US"/>
        </w:rPr>
        <w:t xml:space="preserve"> </w:t>
      </w:r>
      <w:r>
        <w:rPr>
          <w:spacing w:val="10"/>
          <w:u w:val="single"/>
          <w:rtl w:val="true"/>
          <w:lang w:val="en-US" w:eastAsia="en-US"/>
        </w:rPr>
        <w:t>שיש</w:t>
      </w:r>
      <w:r>
        <w:rPr>
          <w:rFonts w:cs="Times New Roman"/>
          <w:spacing w:val="10"/>
          <w:u w:val="single"/>
          <w:rtl w:val="true"/>
          <w:lang w:val="en-US" w:eastAsia="en-US"/>
        </w:rPr>
        <w:t xml:space="preserve"> </w:t>
      </w:r>
      <w:r>
        <w:rPr>
          <w:spacing w:val="10"/>
          <w:u w:val="single"/>
          <w:rtl w:val="true"/>
          <w:lang w:val="en-US" w:eastAsia="en-US"/>
        </w:rPr>
        <w:t>להעריכם</w:t>
      </w:r>
      <w:r>
        <w:rPr>
          <w:rFonts w:cs="Times New Roman"/>
          <w:spacing w:val="10"/>
          <w:u w:val="single"/>
          <w:rtl w:val="true"/>
          <w:lang w:val="en-US" w:eastAsia="en-US"/>
        </w:rPr>
        <w:t xml:space="preserve"> </w:t>
      </w:r>
      <w:r>
        <w:rPr>
          <w:spacing w:val="10"/>
          <w:u w:val="single"/>
          <w:rtl w:val="true"/>
          <w:lang w:val="en-US" w:eastAsia="en-US"/>
        </w:rPr>
        <w:t>ולאזנם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לתוצאת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תגשים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המשולבים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בזה</w:t>
      </w:r>
      <w:r>
        <w:rPr>
          <w:spacing w:val="10"/>
          <w:rtl w:val="true"/>
          <w:lang w:val="en-US" w:eastAsia="en-US"/>
        </w:rPr>
        <w:t xml:space="preserve">". </w:t>
      </w:r>
      <w:r>
        <w:rPr>
          <w:spacing w:val="10"/>
          <w:rtl w:val="true"/>
          <w:lang w:val="en-US" w:eastAsia="en-US"/>
        </w:rPr>
        <w:t>ר</w:t>
      </w:r>
      <w:r>
        <w:rPr>
          <w:spacing w:val="10"/>
          <w:rtl w:val="true"/>
          <w:lang w:val="en-US" w:eastAsia="en-US"/>
        </w:rPr>
        <w:t xml:space="preserve">' </w:t>
      </w:r>
      <w:hyperlink r:id="rId25">
        <w:r>
          <w:rPr>
            <w:rStyle w:val="Hyperlink"/>
            <w:color w:val="0000FF"/>
            <w:spacing w:val="10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pacing w:val="10"/>
            <w:u w:val="single"/>
            <w:lang w:val="en-US" w:eastAsia="en-US"/>
          </w:rPr>
          <w:t>10370/02</w:t>
        </w:r>
      </w:hyperlink>
      <w:r>
        <w:rPr>
          <w:spacing w:val="10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סויסה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spacing w:val="10"/>
          <w:rtl w:val="true"/>
          <w:lang w:val="en-US" w:eastAsia="en-US"/>
        </w:rPr>
        <w:t xml:space="preserve"> </w:t>
      </w:r>
      <w:r>
        <w:rPr>
          <w:spacing w:val="10"/>
          <w:rtl w:val="true"/>
          <w:lang w:val="en-US" w:eastAsia="en-US"/>
        </w:rPr>
        <w:t>(</w:t>
      </w:r>
      <w:r>
        <w:rPr>
          <w:spacing w:val="10"/>
          <w:lang w:val="en-US" w:eastAsia="en-US"/>
        </w:rPr>
        <w:t>2003</w:t>
      </w:r>
      <w:r>
        <w:rPr>
          <w:spacing w:val="10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start"/>
        <w:rPr>
          <w:spacing w:val="10"/>
          <w:lang w:val="en-US" w:eastAsia="en-US"/>
        </w:rPr>
      </w:pPr>
      <w:r>
        <w:rPr>
          <w:spacing w:val="1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מוסא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נבארי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במסגרת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הסדר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טעון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הגבילה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הנמוקים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בבסיס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עריכת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המחיב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כניסתו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ועוד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מוסא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נבארי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נושנה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2004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החבלני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מחלוקת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בשלהי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ומכאן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בענינו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אמנם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מוסא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נבארי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בחלופה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שהחזיקה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בתו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הפיגוע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הזמן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הגבילה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עתירתה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העֹנשית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שהגבילה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מוסא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נבארי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ומבחינות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הביאו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בעתירתה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העֹנשית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יוצאת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הדֹּפן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שגובש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ההבדל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הגם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שלעקרון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ואושר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הנתון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מוסא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נבארי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וחרף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הבינוני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גבוה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שפורטו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משתנה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האיזון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הסופות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שהוחזק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לנסיון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רצחני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ביותר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יזכה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שינוי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האיזון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עיצום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שיצטרף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המפורטות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וביניהן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שהוגשה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ידם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שמע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bookmarkStart w:id="12" w:name="_GoBack"/>
      <w:bookmarkEnd w:id="12"/>
      <w:r>
        <w:rPr>
          <w:rtl w:val="true"/>
          <w:lang w:val="en-US" w:eastAsia="en-US"/>
        </w:rPr>
        <w:t>ותוך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השוויון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הבאים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15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חדשים</w:t>
      </w:r>
      <w:r>
        <w:rPr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תשעה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בניגוד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6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, </w:t>
      </w:r>
      <w:hyperlink r:id="rId27">
        <w:r>
          <w:rPr>
            <w:rStyle w:val="Hyperlink"/>
            <w:color w:val="0000FF"/>
            <w:u w:val="single"/>
            <w:rtl w:val="true"/>
            <w:lang w:val="en-US" w:eastAsia="en-US"/>
          </w:rPr>
          <w:t>פרקים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'</w:t>
        </w:r>
      </w:hyperlink>
      <w:r>
        <w:rPr>
          <w:rtl w:val="true"/>
          <w:lang w:val="en-US" w:eastAsia="en-US"/>
        </w:rPr>
        <w:t xml:space="preserve">, </w:t>
      </w:r>
      <w:hyperlink r:id="rId28">
        <w:r>
          <w:rPr>
            <w:rStyle w:val="Hyperlink"/>
            <w:rtl w:val="true"/>
            <w:lang w:val="en-US" w:eastAsia="en-US"/>
          </w:rPr>
          <w:t>ח</w:t>
        </w:r>
        <w:r>
          <w:rPr>
            <w:rStyle w:val="Hyperlink"/>
            <w:rtl w:val="true"/>
            <w:lang w:val="en-US" w:eastAsia="en-US"/>
          </w:rPr>
          <w:t>'</w:t>
        </w:r>
      </w:hyperlink>
      <w:r>
        <w:rPr>
          <w:rtl w:val="true"/>
          <w:lang w:val="en-US" w:eastAsia="en-US"/>
        </w:rPr>
        <w:t xml:space="preserve">, </w:t>
      </w:r>
      <w:hyperlink r:id="rId29">
        <w:r>
          <w:rPr>
            <w:rStyle w:val="Hyperlink"/>
            <w:rtl w:val="true"/>
            <w:lang w:val="en-US" w:eastAsia="en-US"/>
          </w:rPr>
          <w:t>י</w:t>
        </w:r>
        <w:r>
          <w:rPr>
            <w:rStyle w:val="Hyperlink"/>
            <w:rtl w:val="true"/>
            <w:lang w:val="en-US" w:eastAsia="en-US"/>
          </w:rPr>
          <w:t>'</w:t>
        </w:r>
      </w:hyperlink>
      <w:r>
        <w:rPr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15,000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תמורתו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01.01.2015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הודעה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הערעור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יתיצב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 ניסן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אפריל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התובעת מתמחה אלין קרינאוי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הסניגור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אסתר בר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ציון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32637-10-10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עואד בן סאלם נבארי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gC" TargetMode="External"/><Relationship Id="rId5" Type="http://schemas.openxmlformats.org/officeDocument/2006/relationships/hyperlink" Target="http://www.nevo.co.il/law/70301/hC" TargetMode="External"/><Relationship Id="rId6" Type="http://schemas.openxmlformats.org/officeDocument/2006/relationships/hyperlink" Target="http://www.nevo.co.il/law/70301/j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825456" TargetMode="External"/><Relationship Id="rId10" Type="http://schemas.openxmlformats.org/officeDocument/2006/relationships/hyperlink" Target="http://www.nevo.co.il/case/5887664" TargetMode="External"/><Relationship Id="rId11" Type="http://schemas.openxmlformats.org/officeDocument/2006/relationships/hyperlink" Target="http://www.nevo.co.il/links/psika/?link=&#1506;&#1508;%201332/04" TargetMode="External"/><Relationship Id="rId12" Type="http://schemas.openxmlformats.org/officeDocument/2006/relationships/hyperlink" Target="http://www.nevo.co.il/links/psika/?link=&#1506;&#1508;%204831/08" TargetMode="External"/><Relationship Id="rId13" Type="http://schemas.openxmlformats.org/officeDocument/2006/relationships/hyperlink" Target="http://www.nevo.co.il/case/6118595" TargetMode="External"/><Relationship Id="rId14" Type="http://schemas.openxmlformats.org/officeDocument/2006/relationships/hyperlink" Target="http://www.nevo.co.il/case/5852404" TargetMode="External"/><Relationship Id="rId15" Type="http://schemas.openxmlformats.org/officeDocument/2006/relationships/hyperlink" Target="http://www.nevo.co.il/case/600018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case/6949290" TargetMode="External"/><Relationship Id="rId19" Type="http://schemas.openxmlformats.org/officeDocument/2006/relationships/hyperlink" Target="http://www.nevo.co.il/case/2245160" TargetMode="External"/><Relationship Id="rId20" Type="http://schemas.openxmlformats.org/officeDocument/2006/relationships/hyperlink" Target="http://www.nevo.co.il/case/5703734" TargetMode="External"/><Relationship Id="rId21" Type="http://schemas.openxmlformats.org/officeDocument/2006/relationships/hyperlink" Target="http://www.nevo.co.il/case/5748837" TargetMode="External"/><Relationship Id="rId22" Type="http://schemas.openxmlformats.org/officeDocument/2006/relationships/hyperlink" Target="http://www.nevo.co.il/case/5587746" TargetMode="External"/><Relationship Id="rId23" Type="http://schemas.openxmlformats.org/officeDocument/2006/relationships/hyperlink" Target="http://www.nevo.co.il/case/5933664" TargetMode="External"/><Relationship Id="rId24" Type="http://schemas.openxmlformats.org/officeDocument/2006/relationships/hyperlink" Target="http://www.nevo.co.il/case/5583030" TargetMode="External"/><Relationship Id="rId25" Type="http://schemas.openxmlformats.org/officeDocument/2006/relationships/hyperlink" Target="http://www.nevo.co.il/case/5806930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gC" TargetMode="External"/><Relationship Id="rId28" Type="http://schemas.openxmlformats.org/officeDocument/2006/relationships/hyperlink" Target="http://www.nevo.co.il/law/70301/hC" TargetMode="External"/><Relationship Id="rId29" Type="http://schemas.openxmlformats.org/officeDocument/2006/relationships/hyperlink" Target="http://www.nevo.co.il/law/70301/jC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2014-05-04T08:19:00Z</dcterms:created>
  <dc:creator> </dc:creator>
  <dc:description/>
  <cp:keywords/>
  <dc:language>en-IL</dc:language>
  <cp:lastModifiedBy>hofit</cp:lastModifiedBy>
  <dcterms:modified xsi:type="dcterms:W3CDTF">2014-05-04T08:19:00Z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עואד בן סאלם נבארי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ProcID=133;209&amp;PartA=4831&amp;PartC=08</vt:lpwstr>
  </property>
  <property fmtid="{D5CDD505-2E9C-101B-9397-08002B2CF9AE}" pid="10" name="CASESLISTTMP1">
    <vt:lpwstr>5825456;5887664;6118595;5852404;6000182;7791493;6949290;2245160;5703734;5748837;5587746;5933664;5583030;5806930</vt:lpwstr>
  </property>
  <property fmtid="{D5CDD505-2E9C-101B-9397-08002B2CF9AE}" pid="11" name="CITY">
    <vt:lpwstr>ב"ש</vt:lpwstr>
  </property>
  <property fmtid="{D5CDD505-2E9C-101B-9397-08002B2CF9AE}" pid="12" name="DATE">
    <vt:lpwstr>20140428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רון סולקין</vt:lpwstr>
  </property>
  <property fmtid="{D5CDD505-2E9C-101B-9397-08002B2CF9AE}" pid="16" name="LAWLISTTMP1">
    <vt:lpwstr>70301/144.a;gC;hC;jC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32637</vt:lpwstr>
  </property>
  <property fmtid="{D5CDD505-2E9C-101B-9397-08002B2CF9AE}" pid="24" name="NEWPARTB">
    <vt:lpwstr>10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380020140428</vt:lpwstr>
  </property>
  <property fmtid="{D5CDD505-2E9C-101B-9397-08002B2CF9AE}" pid="36" name="TYPE_N_DATE">
    <vt:lpwstr>38020140428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