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 xml:space="preserve">בית המשפט המחוזי בתל אביב </w:t>
            </w: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32694-03-11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עזרא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מאי </w:t>
            </w:r>
            <w:r>
              <w:rPr>
                <w:b/>
                <w:bCs/>
                <w:sz w:val="26"/>
                <w:szCs w:val="26"/>
              </w:rPr>
              <w:t>2012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bidi w:val="0"/>
        <w:jc w:val="end"/>
        <w:rPr>
          <w:rFonts w:ascii="Times New Roman" w:hAnsi="Times New Roman" w:eastAsia="Times New Roman" w:cs="Times New Roman"/>
          <w:b/>
          <w:bCs/>
          <w:color w:val="00008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80"/>
          <w:sz w:val="20"/>
          <w:szCs w:val="20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pacing w:lineRule="auto" w:line="360"/>
              <w:jc w:val="both"/>
              <w:rPr/>
            </w:pPr>
            <w:r>
              <w:rPr/>
              <w:t xml:space="preserve">  </w:t>
            </w:r>
          </w:p>
        </w:tc>
        <w:tc>
          <w:tcPr>
            <w:tcW w:w="7128" w:type="dxa"/>
            <w:tcBorders/>
          </w:tcPr>
          <w:p>
            <w:pPr>
              <w:pStyle w:val="Header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לפני 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השופט צבי גורפינקל</w:t>
            </w:r>
            <w:r>
              <w:rPr>
                <w:rStyle w:val="TimesNewRomanTimesNew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b/>
                <w:b/>
                <w:bCs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 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 עוה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 סולי לביא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  <w:r>
              <w:rPr>
                <w:b/>
                <w:bCs/>
                <w:rtl w:val="true"/>
              </w:rPr>
              <w:t xml:space="preserve">.  </w:t>
            </w:r>
            <w:r>
              <w:rPr>
                <w:b/>
                <w:b/>
                <w:bCs/>
                <w:rtl w:val="true"/>
              </w:rPr>
              <w:t>יעקב יוסוב – בעצמו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 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 עוה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 ליטן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83" w:type="dxa"/>
            <w:tcBorders/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b w:val="false"/>
          <w:bCs w:val="false"/>
          <w:sz w:val="6"/>
          <w:szCs w:val="6"/>
          <w:u w:val="none"/>
        </w:rPr>
      </w:pPr>
      <w:r>
        <w:rPr>
          <w:b w:val="false"/>
          <w:bCs w:val="false"/>
          <w:sz w:val="6"/>
          <w:szCs w:val="6"/>
          <w:u w:val="none"/>
          <w:rtl w:val="true"/>
        </w:rPr>
      </w:r>
    </w:p>
    <w:p>
      <w:pPr>
        <w:pStyle w:val="12"/>
        <w:ind w:end="0"/>
        <w:jc w:val="center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  <w:rtl w:val="true"/>
        </w:rPr>
      </w:r>
      <w:bookmarkStart w:id="3" w:name="StartProtocol"/>
      <w:bookmarkStart w:id="4" w:name="StartProtocol"/>
      <w:bookmarkEnd w:id="4"/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bookmarkStart w:id="5" w:name="StartProtocol"/>
      <w:bookmarkEnd w:id="5"/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6" w:name="PsakDin"/>
      <w:bookmarkEnd w:id="6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גזר דין 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(</w:t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נאשם </w:t>
      </w:r>
      <w:r>
        <w:rPr>
          <w:rFonts w:cs="Arial" w:ascii="Arial" w:hAnsi="Arial"/>
          <w:b/>
          <w:bCs/>
          <w:sz w:val="28"/>
          <w:szCs w:val="28"/>
          <w:u w:val="single"/>
        </w:rPr>
        <w:t>15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)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7" w:name="PsakDin"/>
      <w:bookmarkStart w:id="8" w:name="PsakDin"/>
      <w:bookmarkEnd w:id="8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המתלונן היה חייב לנאשם כסף עקב הימורים בספורט ברשת אנטרנט</w:t>
      </w:r>
      <w:r>
        <w:rPr>
          <w:rtl w:val="true"/>
        </w:rPr>
        <w:t xml:space="preserve">. </w:t>
      </w:r>
      <w:r>
        <w:rPr>
          <w:rtl w:val="true"/>
        </w:rPr>
        <w:t xml:space="preserve">בחודש יוני </w:t>
      </w:r>
      <w:r>
        <w:rPr/>
        <w:t>2010</w:t>
      </w:r>
      <w:r>
        <w:rPr>
          <w:rtl w:val="true"/>
        </w:rPr>
        <w:t xml:space="preserve"> </w:t>
      </w:r>
      <w:r>
        <w:rPr>
          <w:rtl w:val="true"/>
        </w:rPr>
        <w:t>התקשרו הנאשם ואחרים וביקשו להיפגש עם המתלונן ע</w:t>
      </w:r>
      <w:r>
        <w:rPr>
          <w:rtl w:val="true"/>
        </w:rPr>
        <w:t>"</w:t>
      </w:r>
      <w:r>
        <w:rPr>
          <w:rtl w:val="true"/>
        </w:rPr>
        <w:t>מ לגבות את החוב והמתלונן אמר כי ילך לאחיו ויגייס את הכסף לצורך ביצוע התשלום</w:t>
      </w:r>
      <w:r>
        <w:rPr>
          <w:rtl w:val="true"/>
        </w:rPr>
        <w:t xml:space="preserve">. </w:t>
      </w:r>
      <w:r>
        <w:rPr>
          <w:rtl w:val="true"/>
        </w:rPr>
        <w:t>בתגובה לכך התקשרו הנאשם ואחרים לאחיו של המתלונן</w:t>
      </w:r>
      <w:r>
        <w:rPr>
          <w:rtl w:val="true"/>
        </w:rPr>
        <w:t xml:space="preserve">, </w:t>
      </w:r>
      <w:r>
        <w:rPr>
          <w:rtl w:val="true"/>
        </w:rPr>
        <w:t>ולאחר מכן הגיעו כדי להיפגש עם המתלונן והאח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הפגישה התקיימה בסמוך לבית קפה בת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הנאשם ניגש לאחיו של המתלונן וערך חיפוש על גופו</w:t>
      </w:r>
      <w:r>
        <w:rPr>
          <w:rtl w:val="true"/>
        </w:rPr>
        <w:t xml:space="preserve">, </w:t>
      </w:r>
      <w:r>
        <w:rPr>
          <w:rtl w:val="true"/>
        </w:rPr>
        <w:t>כדי לברר אם מצוי עליו מכשיר הקלטה</w:t>
      </w:r>
      <w:r>
        <w:rPr>
          <w:rtl w:val="true"/>
        </w:rPr>
        <w:t xml:space="preserve">, </w:t>
      </w:r>
      <w:r>
        <w:rPr>
          <w:rtl w:val="true"/>
        </w:rPr>
        <w:t>ואז פנו הנאשם ואחרים אל המתלונן ואחיו</w:t>
      </w:r>
      <w:r>
        <w:rPr>
          <w:rtl w:val="true"/>
        </w:rPr>
        <w:t xml:space="preserve">, </w:t>
      </w:r>
      <w:r>
        <w:rPr>
          <w:rtl w:val="true"/>
        </w:rPr>
        <w:t>בצורה מאיימת תוך דרישת סכום החוב</w:t>
      </w:r>
      <w:r>
        <w:rPr>
          <w:rtl w:val="true"/>
        </w:rPr>
        <w:t xml:space="preserve">, </w:t>
      </w:r>
      <w:r>
        <w:rPr>
          <w:rtl w:val="true"/>
        </w:rPr>
        <w:t xml:space="preserve">ואיימו עליהם כי אם המתלונן לא ישלם את הכסף </w:t>
      </w:r>
      <w:r>
        <w:rPr>
          <w:rtl w:val="true"/>
        </w:rPr>
        <w:t>"</w:t>
      </w:r>
      <w:r>
        <w:rPr>
          <w:rtl w:val="true"/>
        </w:rPr>
        <w:t>יפרקו אותו ויכניסו אותו לבגאג</w:t>
      </w:r>
      <w:r>
        <w:rPr>
          <w:rtl w:val="true"/>
        </w:rPr>
        <w:t>'".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לאור חששו של המתלונן  הוא ביקש מאחיו לשלם לנאשם ולאחרים את סכום החוב</w:t>
      </w:r>
      <w:r>
        <w:rPr>
          <w:rtl w:val="true"/>
        </w:rPr>
        <w:t xml:space="preserve">, </w:t>
      </w:r>
      <w:r>
        <w:rPr>
          <w:rtl w:val="true"/>
        </w:rPr>
        <w:t>והאח כתב שיק ע</w:t>
      </w:r>
      <w:r>
        <w:rPr>
          <w:rtl w:val="true"/>
        </w:rPr>
        <w:t>"</w:t>
      </w:r>
      <w:r>
        <w:rPr>
          <w:rtl w:val="true"/>
        </w:rPr>
        <w:t xml:space="preserve">ס </w:t>
      </w:r>
      <w:r>
        <w:rPr/>
        <w:t>70,000</w:t>
      </w:r>
      <w:r>
        <w:rPr>
          <w:rtl w:val="true"/>
        </w:rPr>
        <w:t xml:space="preserve"> ₪ </w:t>
      </w:r>
      <w:r>
        <w:rPr>
          <w:rtl w:val="true"/>
        </w:rPr>
        <w:t>ומסר אותו לנאשם ולאחרים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בגין ארועים אלה הורשע הנאשם על פי הודאתו בכתב אישום מתוקן המייחס לו עבירה של סחיטה באיומים</w:t>
      </w:r>
      <w:r>
        <w:rPr>
          <w:rtl w:val="true"/>
        </w:rPr>
        <w:t xml:space="preserve">, </w:t>
      </w:r>
      <w:r>
        <w:rPr>
          <w:rtl w:val="true"/>
        </w:rPr>
        <w:t>לפי סע</w:t>
      </w:r>
      <w:r>
        <w:rPr>
          <w:rtl w:val="true"/>
        </w:rPr>
        <w:t xml:space="preserve">' </w:t>
      </w:r>
      <w:r>
        <w:rPr/>
        <w:t>428</w:t>
      </w:r>
      <w:r>
        <w:rPr>
          <w:rtl w:val="true"/>
        </w:rPr>
        <w:t xml:space="preserve"> </w:t>
      </w:r>
      <w:r>
        <w:rPr>
          <w:rtl w:val="true"/>
        </w:rPr>
        <w:t>סיפא ל</w:t>
      </w:r>
      <w:hyperlink r:id="rId2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האישום כנגד הנאשם הוא אחד האישומים בלבד בכתב אישום שהוגש כנגד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נאשמים</w:t>
      </w:r>
      <w:r>
        <w:rPr>
          <w:rtl w:val="true"/>
        </w:rPr>
        <w:t xml:space="preserve">, </w:t>
      </w:r>
      <w:r>
        <w:rPr>
          <w:rtl w:val="true"/>
        </w:rPr>
        <w:t>שהואשמו בעבירות חמורות בהרבה של סחיטה בכח ואיומים</w:t>
      </w:r>
      <w:r>
        <w:rPr>
          <w:rtl w:val="true"/>
        </w:rPr>
        <w:t xml:space="preserve">, </w:t>
      </w:r>
      <w:r>
        <w:rPr>
          <w:rtl w:val="true"/>
        </w:rPr>
        <w:t>תוך שימוש באלימות ובאחד המקרים אף הושלך רימון לחצר ביתו של אחד החייבים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חלקו של הנאשם בפרשה מצטמצם לארוע נקודתי</w:t>
      </w:r>
      <w:r>
        <w:rPr>
          <w:rtl w:val="true"/>
        </w:rPr>
        <w:t xml:space="preserve">, </w:t>
      </w:r>
      <w:r>
        <w:rPr>
          <w:rtl w:val="true"/>
        </w:rPr>
        <w:t>והצדדים הגיעו להסדר טיעון לפיו יגזר על הנאשם עונש מאסר בפועל בן חודשיים בלבד שירוצה בעבודות שירות</w:t>
      </w:r>
      <w:r>
        <w:rPr>
          <w:rtl w:val="true"/>
        </w:rPr>
        <w:t xml:space="preserve">, </w:t>
      </w:r>
      <w:r>
        <w:rPr>
          <w:rtl w:val="true"/>
        </w:rPr>
        <w:t>מאסר ע</w:t>
      </w:r>
      <w:r>
        <w:rPr>
          <w:rtl w:val="true"/>
        </w:rPr>
        <w:t>"</w:t>
      </w:r>
      <w:r>
        <w:rPr>
          <w:rtl w:val="true"/>
        </w:rPr>
        <w:t>ת וקנס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למרות שמדובר בארוע יחיד</w:t>
      </w:r>
      <w:r>
        <w:rPr>
          <w:rtl w:val="true"/>
        </w:rPr>
        <w:t xml:space="preserve">, </w:t>
      </w:r>
      <w:r>
        <w:rPr>
          <w:rtl w:val="true"/>
        </w:rPr>
        <w:t>מדובר בעונש קל למדי</w:t>
      </w:r>
      <w:r>
        <w:rPr>
          <w:rtl w:val="true"/>
        </w:rPr>
        <w:t xml:space="preserve">, </w:t>
      </w:r>
      <w:r>
        <w:rPr>
          <w:rtl w:val="true"/>
        </w:rPr>
        <w:t>אולם הסדר הטיעון נעוץ בעיקר בקשיים ראיתיים</w:t>
      </w:r>
      <w:r>
        <w:rPr>
          <w:rtl w:val="true"/>
        </w:rPr>
        <w:t xml:space="preserve">, </w:t>
      </w:r>
      <w:r>
        <w:rPr>
          <w:rtl w:val="true"/>
        </w:rPr>
        <w:t>אשר נתגלו סתירות בראיות שנאספו בהשלמת החקירה</w:t>
      </w:r>
      <w:r>
        <w:rPr>
          <w:rtl w:val="true"/>
        </w:rPr>
        <w:t xml:space="preserve">, </w:t>
      </w:r>
      <w:r>
        <w:rPr>
          <w:rtl w:val="true"/>
        </w:rPr>
        <w:t>מה עוד שהמתלונן לא זיהה את הנאשם כמי שביצע את עבירת הסחיטה</w:t>
      </w:r>
      <w:r>
        <w:rPr>
          <w:rtl w:val="true"/>
        </w:rPr>
        <w:t xml:space="preserve">, </w:t>
      </w:r>
      <w:r>
        <w:rPr>
          <w:rtl w:val="true"/>
        </w:rPr>
        <w:t>למרות שלא היו קשיים בזיהוי לגבי האחרים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בנסיבות אלה</w:t>
      </w:r>
      <w:r>
        <w:rPr>
          <w:rtl w:val="true"/>
        </w:rPr>
        <w:t xml:space="preserve">, </w:t>
      </w:r>
      <w:r>
        <w:rPr>
          <w:rtl w:val="true"/>
        </w:rPr>
        <w:t>למרות שהעונש כאמור קל למדי</w:t>
      </w:r>
      <w:r>
        <w:rPr>
          <w:rtl w:val="true"/>
        </w:rPr>
        <w:t xml:space="preserve">, </w:t>
      </w:r>
      <w:r>
        <w:rPr>
          <w:rtl w:val="true"/>
        </w:rPr>
        <w:t>יש מקום לכבד את הסדר הטיעון לאחר שהנאשם לקח אחריות על מעשיו  וחסך בכך את הצורך להעיד עד מדינה מוגן שקיימים קשיים רבים בהבאתו לביהמ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לאור הסדר הטיעון אני גוזר על 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מטיל עליו שנה מאסר ע</w:t>
      </w:r>
      <w:r>
        <w:rPr>
          <w:rtl w:val="true"/>
        </w:rPr>
        <w:t>"</w:t>
      </w:r>
      <w:r>
        <w:rPr>
          <w:rtl w:val="true"/>
        </w:rPr>
        <w:t xml:space="preserve">ת שלא יעבור תוך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עבירה של סחיטה בכח או באיומים</w:t>
      </w:r>
      <w:r>
        <w:rPr>
          <w:rtl w:val="true"/>
        </w:rPr>
        <w:t xml:space="preserve">, </w:t>
      </w:r>
      <w:r>
        <w:rPr>
          <w:rtl w:val="true"/>
        </w:rPr>
        <w:t>עבירת אלימות כלפי אדם אחר שתוצאתה חבלה של ממש</w:t>
      </w:r>
      <w:r>
        <w:rPr>
          <w:rtl w:val="true"/>
        </w:rPr>
        <w:t xml:space="preserve">, </w:t>
      </w:r>
      <w:r>
        <w:rPr>
          <w:rtl w:val="true"/>
        </w:rPr>
        <w:t>או עבירה של איומים באלימות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אני גוזר על הנאשם קנס בסך </w:t>
      </w:r>
      <w:r>
        <w:rPr/>
        <w:t>3,000</w:t>
      </w:r>
      <w:r>
        <w:rPr>
          <w:rtl w:val="true"/>
        </w:rPr>
        <w:t xml:space="preserve"> ₪. </w:t>
      </w:r>
      <w:r>
        <w:rPr>
          <w:rtl w:val="true"/>
        </w:rPr>
        <w:t xml:space="preserve">הקנס ישולם מתוך פקדון בסך </w:t>
      </w:r>
      <w:r>
        <w:rPr/>
        <w:t>10,000</w:t>
      </w:r>
      <w:r>
        <w:rPr>
          <w:rtl w:val="true"/>
        </w:rPr>
        <w:t xml:space="preserve"> ₪ </w:t>
      </w:r>
      <w:r>
        <w:rPr>
          <w:rtl w:val="true"/>
        </w:rPr>
        <w:t xml:space="preserve">שהופקד בתיק </w:t>
      </w:r>
      <w:hyperlink r:id="rId3"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ת  </w:t>
        </w:r>
        <w:r>
          <w:rPr>
            <w:rStyle w:val="Hyperlink"/>
            <w:color w:val="0000FF"/>
            <w:u w:val="single"/>
          </w:rPr>
          <w:t>32874-03-11</w:t>
        </w:r>
      </w:hyperlink>
      <w:r>
        <w:rPr>
          <w:rtl w:val="true"/>
        </w:rPr>
        <w:t xml:space="preserve"> </w:t>
      </w:r>
      <w:r>
        <w:rPr>
          <w:rtl w:val="true"/>
        </w:rPr>
        <w:t>בבימ</w:t>
      </w:r>
      <w:r>
        <w:rPr>
          <w:rtl w:val="true"/>
        </w:rPr>
        <w:t>"</w:t>
      </w:r>
      <w:r>
        <w:rPr>
          <w:rtl w:val="true"/>
        </w:rPr>
        <w:t>ש המחוזי בת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 xml:space="preserve">והיתרה של </w:t>
      </w:r>
      <w:r>
        <w:rPr/>
        <w:t>7,000</w:t>
      </w:r>
      <w:r>
        <w:rPr>
          <w:rtl w:val="true"/>
        </w:rPr>
        <w:t xml:space="preserve"> ₪ </w:t>
      </w:r>
      <w:r>
        <w:rPr>
          <w:rtl w:val="true"/>
        </w:rPr>
        <w:t>תוחזר לנאשם</w:t>
      </w:r>
      <w:r>
        <w:rPr>
          <w:rtl w:val="true"/>
        </w:rPr>
        <w:t xml:space="preserve">, </w:t>
      </w:r>
      <w:r>
        <w:rPr>
          <w:rtl w:val="true"/>
        </w:rPr>
        <w:t>לאחר שיסיים לרצות את עבודות השירות שהוטלו עליו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אני מבטל את צו עיכוב היציאה מן הארץ שהוצא נגד הנאשם בתיק זה</w:t>
      </w:r>
      <w:r>
        <w:rPr>
          <w:rtl w:val="true"/>
        </w:rPr>
        <w:t xml:space="preserve">, </w:t>
      </w:r>
      <w:r>
        <w:rPr>
          <w:rtl w:val="true"/>
        </w:rPr>
        <w:t>ולהחזיר את דרכונו המופקד במזכירות 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אני מורה כי עונש המאסר בן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החודשים שגזרתי על הנאשם ירוצה בעבודות שירות במתנ</w:t>
      </w:r>
      <w:r>
        <w:rPr>
          <w:rtl w:val="true"/>
        </w:rPr>
        <w:t>"</w:t>
      </w:r>
      <w:r>
        <w:rPr>
          <w:rtl w:val="true"/>
        </w:rPr>
        <w:t>ס נווה יהונתן שד</w:t>
      </w:r>
      <w:r>
        <w:rPr>
          <w:rtl w:val="true"/>
        </w:rPr>
        <w:t xml:space="preserve">' </w:t>
      </w:r>
      <w:r>
        <w:rPr>
          <w:rtl w:val="true"/>
        </w:rPr>
        <w:t xml:space="preserve">עוזיהו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אשדוד</w:t>
      </w:r>
      <w:r>
        <w:rPr>
          <w:rtl w:val="true"/>
        </w:rPr>
        <w:t xml:space="preserve">,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ימים בשבוע</w:t>
      </w:r>
      <w:r>
        <w:rPr>
          <w:rtl w:val="true"/>
        </w:rPr>
        <w:t xml:space="preserve">, </w:t>
      </w:r>
      <w:r>
        <w:rPr/>
        <w:t>8.5</w:t>
      </w:r>
      <w:r>
        <w:rPr>
          <w:rtl w:val="true"/>
        </w:rPr>
        <w:t xml:space="preserve"> </w:t>
      </w:r>
      <w:r>
        <w:rPr>
          <w:rtl w:val="true"/>
        </w:rPr>
        <w:t>שעות עבודה יומיות</w:t>
      </w:r>
      <w:r>
        <w:rPr>
          <w:rtl w:val="true"/>
        </w:rPr>
        <w:t xml:space="preserve">. </w:t>
      </w:r>
      <w:r>
        <w:rPr>
          <w:rtl w:val="true"/>
        </w:rPr>
        <w:t>המפקח האחראי הוא בשארי יורם בטל</w:t>
      </w:r>
      <w:r>
        <w:rPr>
          <w:rtl w:val="true"/>
        </w:rPr>
        <w:t xml:space="preserve">' </w:t>
      </w:r>
      <w:r>
        <w:rPr/>
        <w:t>0506278175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תחילת ריצוי עבודות השירות ביום </w:t>
      </w:r>
      <w:r>
        <w:rPr/>
        <w:t>24.6.12</w:t>
      </w:r>
      <w:r>
        <w:rPr>
          <w:rtl w:val="true"/>
        </w:rPr>
        <w:t xml:space="preserve">, </w:t>
      </w:r>
      <w:r>
        <w:rPr>
          <w:rtl w:val="true"/>
        </w:rPr>
        <w:t xml:space="preserve">במועד זה על הנאשם להתייצב עד השעה </w:t>
      </w:r>
      <w:r>
        <w:rPr/>
        <w:t>08.00</w:t>
      </w:r>
      <w:r>
        <w:rPr>
          <w:rtl w:val="true"/>
        </w:rPr>
        <w:t xml:space="preserve"> </w:t>
      </w:r>
      <w:r>
        <w:rPr>
          <w:rtl w:val="true"/>
        </w:rPr>
        <w:t>במשרד הממונה על עבודות שירות במפקדת מחוז דרום של שב</w:t>
      </w:r>
      <w:r>
        <w:rPr>
          <w:rtl w:val="true"/>
        </w:rPr>
        <w:t>"</w:t>
      </w:r>
      <w:r>
        <w:rPr>
          <w:rtl w:val="true"/>
        </w:rPr>
        <w:t>ס 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מוזהר כי אי התייצבותו במועד או אי מילוי ההוראות שניתנו לו במסגרת עבודות השירות</w:t>
      </w:r>
      <w:r>
        <w:rPr>
          <w:rtl w:val="true"/>
        </w:rPr>
        <w:t xml:space="preserve">, </w:t>
      </w:r>
      <w:r>
        <w:rPr>
          <w:rtl w:val="true"/>
        </w:rPr>
        <w:t>או אי הגעה לעבודה שם</w:t>
      </w:r>
      <w:r>
        <w:rPr>
          <w:rtl w:val="true"/>
        </w:rPr>
        <w:t xml:space="preserve">, </w:t>
      </w:r>
      <w:r>
        <w:rPr>
          <w:rtl w:val="true"/>
        </w:rPr>
        <w:t>יביא לביטול עבודות השירות ולריצוי המאסר מאחורי סורג ובריח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העתק גזה</w:t>
      </w:r>
      <w:r>
        <w:rPr>
          <w:rtl w:val="true"/>
        </w:rPr>
        <w:t>"</w:t>
      </w:r>
      <w:r>
        <w:rPr>
          <w:rtl w:val="true"/>
        </w:rPr>
        <w:t>ד יועבר לממונה על עבודות שירות במפקדת מחוז דרום של שב</w:t>
      </w:r>
      <w:r>
        <w:rPr>
          <w:rtl w:val="true"/>
        </w:rPr>
        <w:t>"</w:t>
      </w:r>
      <w:r>
        <w:rPr>
          <w:rtl w:val="true"/>
        </w:rPr>
        <w:t>ס 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/>
        <w:t>741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/>
        <w:t>84000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זכות ערעור 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ניתן והודע היום ט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אייר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01/05/2012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צבי גורפינקל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419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צבי גורפינקל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ליאת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כהן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"/>
      <w:footerReference w:type="default" r:id="rId6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32694-03-11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יעקב יוסוב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inks/psika/?NEWPROC=&#1502;&#1514;&amp;NEWPARTA=32874&amp;NEWPARTB=03&amp;NEWPARTC=11" TargetMode="External"/><Relationship Id="rId4" Type="http://schemas.openxmlformats.org/officeDocument/2006/relationships/hyperlink" Target="http://www.nevo.co.il/advertisements/nevo-100.doc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2012-05-13T11:57:00Z</dcterms:created>
  <dc:creator> </dc:creator>
  <dc:description/>
  <cp:keywords/>
  <dc:language>en-IL</dc:language>
  <cp:lastModifiedBy>hofit</cp:lastModifiedBy>
  <dcterms:modified xsi:type="dcterms:W3CDTF">2012-05-13T11:57:00Z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יעקב יוסוב</vt:lpwstr>
  </property>
  <property fmtid="{D5CDD505-2E9C-101B-9397-08002B2CF9AE}" pid="4" name="CITY">
    <vt:lpwstr>ת"א</vt:lpwstr>
  </property>
  <property fmtid="{D5CDD505-2E9C-101B-9397-08002B2CF9AE}" pid="5" name="DATE">
    <vt:lpwstr>20120501</vt:lpwstr>
  </property>
  <property fmtid="{D5CDD505-2E9C-101B-9397-08002B2CF9AE}" pid="6" name="JUDGE">
    <vt:lpwstr>צבי גורפינקל</vt:lpwstr>
  </property>
  <property fmtid="{D5CDD505-2E9C-101B-9397-08002B2CF9AE}" pid="7" name="LAWYER">
    <vt:lpwstr>סולי לביא;ליטן</vt:lpwstr>
  </property>
  <property fmtid="{D5CDD505-2E9C-101B-9397-08002B2CF9AE}" pid="8" name="NEWPARTA">
    <vt:lpwstr>32694</vt:lpwstr>
  </property>
  <property fmtid="{D5CDD505-2E9C-101B-9397-08002B2CF9AE}" pid="9" name="NEWPARTB">
    <vt:lpwstr>03</vt:lpwstr>
  </property>
  <property fmtid="{D5CDD505-2E9C-101B-9397-08002B2CF9AE}" pid="10" name="NEWPARTC">
    <vt:lpwstr>11</vt:lpwstr>
  </property>
  <property fmtid="{D5CDD505-2E9C-101B-9397-08002B2CF9AE}" pid="11" name="NEWPROC">
    <vt:lpwstr>תפ</vt:lpwstr>
  </property>
  <property fmtid="{D5CDD505-2E9C-101B-9397-08002B2CF9AE}" pid="12" name="PSAKDIN">
    <vt:lpwstr>גזר-דין</vt:lpwstr>
  </property>
  <property fmtid="{D5CDD505-2E9C-101B-9397-08002B2CF9AE}" pid="13" name="TYPE">
    <vt:lpwstr>2</vt:lpwstr>
  </property>
  <property fmtid="{D5CDD505-2E9C-101B-9397-08002B2CF9AE}" pid="14" name="TYPE_ABS_DATE">
    <vt:lpwstr>390020120501</vt:lpwstr>
  </property>
  <property fmtid="{D5CDD505-2E9C-101B-9397-08002B2CF9AE}" pid="15" name="TYPE_N_DATE">
    <vt:lpwstr>39020120501</vt:lpwstr>
  </property>
  <property fmtid="{D5CDD505-2E9C-101B-9397-08002B2CF9AE}" pid="16" name="WORDNUMPAGES">
    <vt:lpwstr>3</vt:lpwstr>
  </property>
</Properties>
</file>