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32775-09-23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סאלח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לפני כבוד השופט אמיר טובי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שופט 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דניאל סאלח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xxxxxxxxxx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יאיר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335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7" w:name="ABSTRACT_START"/>
      <w:bookmarkEnd w:id="7"/>
      <w:r>
        <w:rPr>
          <w:rFonts w:ascii="David" w:hAnsi="David" w:eastAsia="Calibri"/>
          <w:rtl w:val="true"/>
        </w:rPr>
        <w:t>הנאשם הורשע 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בעבירה של חבלה חמורה בנסיבות מחמירות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11">
        <w:r>
          <w:rPr>
            <w:rStyle w:val="Hyperlink"/>
            <w:rFonts w:ascii="David" w:hAnsi="David" w:eastAsia="Calibri"/>
            <w:color w:val="0000FF"/>
            <w:rtl w:val="true"/>
          </w:rPr>
          <w:t>סעיפים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335+333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Calibri" w:cs="David" w:ascii="David" w:hAnsi="David"/>
            <w:color w:val="0000FF"/>
          </w:rPr>
          <w:t>1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"); </w:t>
      </w:r>
      <w:r>
        <w:rPr>
          <w:rFonts w:ascii="David" w:hAnsi="David" w:eastAsia="Calibri"/>
          <w:rtl w:val="true"/>
        </w:rPr>
        <w:t xml:space="preserve">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13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רישא</w:t>
      </w:r>
      <w:r>
        <w:rPr>
          <w:rFonts w:eastAsia="Calibri" w:cs="David" w:ascii="David" w:hAnsi="David"/>
          <w:rtl w:val="true"/>
        </w:rPr>
        <w:t>+</w:t>
      </w:r>
      <w:r>
        <w:rPr>
          <w:rFonts w:ascii="David" w:hAnsi="David" w:eastAsia="Calibri"/>
          <w:rtl w:val="true"/>
        </w:rPr>
        <w:t>סיפא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ירי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340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Calibri" w:cs="David" w:ascii="David" w:hAnsi="David"/>
            <w:color w:val="0000FF"/>
          </w:rPr>
          <w:t>1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)+(</w:t>
        </w:r>
        <w:r>
          <w:rPr>
            <w:rStyle w:val="Hyperlink"/>
            <w:rFonts w:eastAsia="Calibri" w:cs="David" w:ascii="David" w:hAnsi="David"/>
            <w:color w:val="0000FF"/>
          </w:rPr>
          <w:t>2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15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192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הודאת הנאשם ניתנה לאחר שכתב האישום תוקן במסגרת הסדר הטיעון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לא כלל הסכמה עונשית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כי לעניין העונש יטען כל צד את טענותיו באופן חופשי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נאמר כי בין הנאשם לבין אדיל חסון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המתלונן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קיימת היכרות מוקדמת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הוא בן זוגה של חנאן בעיני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חנאן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והמתלונן הוא בן זוגה של יסמין חמדאן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יסמין</w:t>
      </w:r>
      <w:r>
        <w:rPr>
          <w:rFonts w:eastAsia="Calibri" w:cs="David" w:ascii="David" w:hAnsi="David"/>
          <w:rtl w:val="true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במועד שאינו ידוע למאשימה במדויק עובר לתאריך </w:t>
      </w:r>
      <w:r>
        <w:rPr>
          <w:rFonts w:eastAsia="Calibri" w:cs="David" w:ascii="David" w:hAnsi="David"/>
        </w:rPr>
        <w:t>14.6.2023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התגלע סכסוך בין חנאן לבין המתלונן ויסמין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רקע אותו סכסוך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שלח הנאשם ליסמין ביום </w:t>
      </w:r>
      <w:r>
        <w:rPr>
          <w:rFonts w:eastAsia="Calibri" w:cs="David" w:ascii="David" w:hAnsi="David"/>
        </w:rPr>
        <w:t>20.8.2023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ארבע הודעות קוליות באמצעות יישומון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וווטסאפ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בהן הוא קילל את יסמין ואיים עליה בפגיעה שלא כדין בגופה או בגופו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בחירותם ובשמם הטוב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להפחיד את יסמין או להקניטה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באותו מועד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בשעות הערב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השמיעה יסמין למתלונן את ההודעות המאיימות ששלח לה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בעקבות כך התקשר המתלונן לנאשם ובין השניים התנהלו חילופי דברים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במהלכם איים הנאשם על המתלונן בפגיעה שלא כדין בגופו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להפחידו או להקניטו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שאמר לו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יא בן של זונה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אוריד אותך על הברכיים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בוא למוחרקה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אראה לך מי אתה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בעקבות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המתלונן למוחרקה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מצא את הנאשם ועזב את 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מספר דקות לאחר מכן התקשר הנאשם למתלונן ואמר לו פעם נוספת להגיע למוחרקה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המתלונן נסע פעם נוספת למוחרקה ושוב לא איתר את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בהמשך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המתלונן לביתה של חנאן בדלית אל כרמל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 פגש 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קילל אותו ואת אחותו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בתגובה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שלח המתלונן לנאשם שתי הודעות מאיימות באמצעות יישומון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ווטסאפ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ניסה המתלונן להתקשר אל הנאשם מספר רב של פעמים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נענה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בהמשך למתואר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21.8.2023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ניסה המתלונן להתקשר אל הנאשם שמונה פעמים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שנענה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במקביל 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נפגשו יסמין והמתלונן בתחנת הדלק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דור אלון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בדלית אל כרמל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באותה עת נהג המתלונן ברכב מסוג קיה פיקנטו שבבעלותו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כשבמושב שליד הנהג ישב בן דודו קיאן חדיד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קיאן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בהיותם בתחנת הדלק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אמר המתלונן ליסמין כי בכוונתו לנסוע אל ביתה של חנאן על מנת לדבר עם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המתלונן וקיאן אכן נסעו לביתה של חנאן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 שהה באותה עת הנאשם כשהוא נושא אקדח טעון במחסנית ותחמושת תואמת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בלא רשות על פי 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משהגיעו המתלונן וקיאן סמוך לביתה של חנאן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הבחין בהם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 אז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הושיט את ידו מחוץ לחלון הבית כשהוא אוחז בנשק וירה שתי יריות באוויר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באזור מגורים ובאופן שיש בו כדי לסכן 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משהבחינו המתלונן וקיאן בנאשם יורה דרך החלון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הם החלו בנסיעה וביצעו פניית פרסה על מנת להימלט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יצא הנאשם מהבית כשהוא נושא ומוביל את הנשק 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וירה שלא כדין לעבר מקום הימצאם של המתלונן וקיאן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כדור אחד ממרחק של כ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מטרים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הכדור פגע בראשו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שחדר אל לחיו הימנית ויצא מלחיו השמאלית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בהמשך לאמור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נמלטו המתלונן וקיאן מהמקום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שקיאן החליף עם המתלונן מושב ונהג ברכב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השניים נסעו למוקד מד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 בדלית אל כרמל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משם פונה המתלונן לבית החולים כרמל ובהמשך הועבר לבית החולים רמב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ם בחיפה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אושפז בין התאריכים </w:t>
      </w:r>
      <w:r>
        <w:rPr>
          <w:rFonts w:eastAsia="Calibri" w:cs="David" w:ascii="David" w:hAnsi="David"/>
        </w:rPr>
        <w:t>21.8.2023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30.8.2023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במהלך אשפוזו עבר המתלונן ניתוח ביום </w:t>
      </w:r>
      <w:r>
        <w:rPr>
          <w:rFonts w:eastAsia="Calibri" w:cs="David" w:ascii="David" w:hAnsi="David"/>
        </w:rPr>
        <w:t>22.8.2023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במחלקת פה ולסת כשהוא מורדם ומונשם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כתוצאה ממעשיו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נגרמו למתלונן פצעים וחבלות חמורות כדלקמן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פצע כניסה בלחי ימין ופצע יציאה בלחי שמאל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שבר מרוסק בקשת זיגומטית שמאל וגוף זיגומה צד שמאל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שבר מרוסק מינור בקשת זיגומטית בצד ימין ושברים מרוסקים באזור סינוסים מקסילריים וחלל האף ובועיות אוויר דו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צדדי לאורך מסלול הקליע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שברים בקיר תחתון של ארובת העין מימין עם בועית אוויר קטנה בארובת העין צמודה לשבר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ושבר בקיר הליטרלי בארובת העין של ארובת העין הימנית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דקות ספורות לאחר הירי המתואר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נמלט הנאשם מהמקום לבית חברו בשפרעם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נושא ומוביל עמו את האקדח והמחסנית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במסגרת הראיות לעונש הגישה המאשימה את גיליון רישומו הפלילי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ממנו עולה כי לחובתו שתי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האחת משנת </w:t>
      </w:r>
      <w:r>
        <w:rPr>
          <w:rFonts w:eastAsia="Calibri" w:cs="David" w:ascii="David" w:hAnsi="David"/>
        </w:rPr>
        <w:t>2011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בעבירה של ניסיון להצתה של מבנה במטרה לפגוע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 והובלת נשק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ביצוע עסקה אחרת בנשק וקשירת קשר לביצוע פשע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בגין הרשעה זו נידון הנאשם למאסר בפועל לתקופה של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הרשעתו האחרת היא משנת </w:t>
      </w:r>
      <w:r>
        <w:rPr>
          <w:rFonts w:eastAsia="Calibri" w:cs="David" w:ascii="David" w:hAnsi="David"/>
        </w:rPr>
        <w:t>2010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בגין שתי פריצות לבניין שאינו דירת מגורים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ההגנה הגישה תיעוד רפואי המתייחס למצבו הרפואי של אבי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וכן תצהיר המעיד על יישור ההדורים בין הצדדים היריבים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ציינה המאשימה כי הערכים החברתיים שנפגעו כתוצאה מביצוען של העבירות בהן הורשע הנאשם הם שמירה על החיים ושלמות הגוף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לאחר שהפנתה למדיניות הענישה המחמירה הנוהגת בעבירות נשק ולחומרת נסיבות 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לקבוע מתחם ענישה הנע בין </w:t>
      </w:r>
      <w:r>
        <w:rPr>
          <w:rFonts w:eastAsia="Calibri" w:cs="David" w:ascii="David" w:hAnsi="David"/>
        </w:rPr>
        <w:t>9-7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באיזון שבין הודאת הנאשם במיוחס לו בכתב האישום בשלב מוקדם של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לבין העובדה כי מדובר במי שלחובתו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בעבירות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עתרה המאשימה למקם את העונש ברף האמצעי של המתחם שהוצע על ידה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להשית על הנאשם עונש צופה פני עתיד לתקופה ארוכה ומשמעותית ופיצוי משמעותי לנפגע העבירה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הסנגור הפנה בטיעוניו לעובדה שהאירוע התרחש בזמן שהמתלונן הגיע לבית בו מתגורר הנאשם יחד עם בת זוגו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יום קודם לאירוע יצר המתלונן קשר עם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קילל אותו ואיים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נמנע מלענות לשיחות רבות של המתלונן אליו וכן לא הגיע לפגישות במוחרקה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דבר המעיד על ניסיונו להימנע מכל עימות פיזי עם המתלונן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המתלונן הוא זה שהופיע באופן מפתיע בביתו של הנאשם ללא כל התראה מוקדמת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 גם מתבקשת המסקנה שלמעשיו של הנאשם לא קדמה כל התארגנות מיוחדת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באירוע ספונטני ופתאומי שפרץ על רקע הגעת המתלונן לביתו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הוסיף הסנגור כי על רקע איומיו של המתלונן על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ניתן להבין את חששו שעה שהמתלונן הפתיע אותו והגיע עד לביתו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לטענת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נסיבות האירוע מלמדות על כך שלא הייתה לנאשם כוונה מיוחדת לפגוע במתלונן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הירי נעשה ממרחק לא מבוטל של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מטרים והתוצאות הקשות של האירוע לא נבעו מכוונה מיוחדת של הנאשם לפגוע במתלונן במיקום בו פגע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אכן פוטנציאל הנזק באזור הראש הוא ממשי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בפועל הכדור חדר ללחיו הימנית של המתלונן ויצא מלחיו השמאלית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האיברים שנפגעו אינם איברים חיוניים ולא העמידו את המתלונן בסכנת חיים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שהפנה למדיניות הענישה הנלמדת מפסיקה אותה הציג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לקבוע כי מתחם העונש ההולם נע בין שנתיים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בגזירת העונש בתוך המתחם ביקש הסנגור להביא בחשבון את הודאתו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מגלמת נטילת אחריות מצדו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והביאה בנוסף לחיסכון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להתחשב בנסיבותיו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רווק בן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שאינו עובד ואשר אביו מרותק למיטה לאחר שעבר אירוע מוחי בשנת </w:t>
      </w:r>
      <w:r>
        <w:rPr>
          <w:rFonts w:eastAsia="Calibri" w:cs="David" w:ascii="David" w:hAnsi="David"/>
        </w:rPr>
        <w:t>2017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במשפחה הנתונה במצוקה כלכלית קשה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בהתייחס לעברו הפלילי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נאמר כי אכן לחובתו שתי הרשעות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אך מדובר בהרשעות מלפני זמן רב שהתיישנו עוד בשנת 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הסנגור הפנה גם להסכם הסולחה שנערך בין הצדדים היריבים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ואשר הוביל ליישוב הסכסוך והרגעת הרוחות בין הנצים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מצבו הכלכלי הקשה של הנאשם ותקופת המאסר הצפויה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ובשים לב לנזק שנגרם למתלונן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ההגנה להטיל פיצוי נמוך ככל הניתן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לסיכום ונוכח מקבץ הטעמים שנמנו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סבורה ההגנה כי יש להשית את עונשו של הנאשם בחלק התחתון של המתחם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הביע הנאשם צער על התנהלותו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מעשיו נעשו מתוך פחד ונועדו להרחיק את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שהייתה לו כל כוונה לפגוע בו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מתחם העונש ההולם נקבע בהתאם לעיקרון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 קיומו של יחס הולם בין חומרת מעשה העבירה בנסיבותיו ומידת אשמו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ובין סוג ומידת העונש המוטל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בקביעת מתחם העונש ההולם על בית המשפט להתחשב בערכים החברתיים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הנהוגה ובנסיבות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כמפורט </w:t>
      </w:r>
      <w:hyperlink r:id="rId16">
        <w:r>
          <w:rPr>
            <w:rStyle w:val="Hyperlink"/>
            <w:rFonts w:ascii="David" w:hAnsi="David" w:eastAsia="Calibri"/>
            <w:color w:val="0000FF"/>
            <w:rtl w:val="true"/>
          </w:rPr>
          <w:t>בסעיף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ט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החברתיים המוגנים שנפגעו בענייננו הם שלמות גופו וביטחונו של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גם השמירה על גופו וביטחונו של הציבור בכללותו והשמירה על שלטון החוק והסדר הציבורי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מעשיו של הנאשם חמורים ביותר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 סכסוך בגין עניין של מה בכך ולאחר שהצדדים גידפו האחד את השני ואיימו זה על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אחז הנאשם אקדח בידו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ירה שתי יריות באוויר באזור מגורים ובהמשך ירה לעברו של המתלונן ופגע 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זו בלבד שהירי באוויר יכול היה לגרום לנזק ממשי ולפגוע בחפים מפשע בהינתן העובדה שהדבר נעשה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שהפגיעה במתלונן עלולה הייתה להיות קטלנית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החדירה של הכדור ללחיו הימנית של המתלונן ויציאתו מלחיו השמאלית היא בגדר נס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ניתן לתאר על נקלה תוצאה קשה בהרבה מזו שארעה בפועל ורק יד המזל היא זו שהובילה לכך שהאירוע לא הסתיים בקיפוח חייו של המתלונן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יתר על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לכך שקיאן ישב מימינו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הכדור אותו ירה הנאשם חדר ללחיו הימנית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שרק בדרך נס לא פגע הכדור בקיאן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בכך שיחק המזל לידיו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בפסיקה עקבית של בית 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בייחוד מהשנים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חזר בית המשפט על הקביעה כי חומרתן היתרה של העבירות בנשק מחייבת החמרה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בשים לב לנזק העצום שהן מסבות לחברה ונוכח העובדה שעבירות אלו הפכו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הקלות הבלתי נסבלת של שליפת נשק חם וביצוע 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פגיעה בחפים מפשע ובמקרים רבים גדיעת חייהם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מחייבת נקיטת יד קשה והחמרה בענישתם של אלה המורשעים בעבירות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זו תרומתו של בית המשפט למלחמה בתופעה של עברייני נשק המשתוללים במרחב הציבורי ונוהגים בבריונות ואלימות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זורעים פורענות ומטילים חתתם על מגזרים שלמים החיים תחת חרדה קיומית יום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יומית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בית המשפט העליון נדרש לא אחת למדיניות ההחמרה המתחייבת בענישה לגבי 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למשל ב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2165/23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פלאח בלאל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04.05.2023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נקבע</w:t>
      </w:r>
      <w:r>
        <w:rPr>
          <w:rFonts w:eastAsia="Calibri" w:cs="David" w:ascii="David" w:hAnsi="David"/>
          <w:rtl w:val="true"/>
        </w:rPr>
        <w:t xml:space="preserve">: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על חומרתן הרבה של עבירות הנשק עמד בית משפט זה פעם אחר פעם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עבירות אלו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בחברה הישראלית </w:t>
      </w:r>
      <w:r>
        <w:rPr>
          <w:rFonts w:eastAsia="Calibri" w:cs="David" w:ascii="David" w:hAnsi="David"/>
          <w:rtl w:val="true"/>
        </w:rPr>
        <w:t>(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סובח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הן מסכנות את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גם בהיותן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קרקע פורייה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לביצוע עבירות אחרות – החל מעבירות איומים וכלה בעבירות המתה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ובשל יכולתן לגרום לפגיעות בגוף ובנפש </w:t>
      </w:r>
      <w:r>
        <w:rPr>
          <w:rFonts w:eastAsia="Calibri" w:cs="David" w:ascii="David" w:hAnsi="David"/>
          <w:rtl w:val="true"/>
        </w:rPr>
        <w:t>(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2283/22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 נבארי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דעתו של חברי השופט 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כבוב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31.7.2022</w:t>
      </w:r>
      <w:r>
        <w:rPr>
          <w:rFonts w:eastAsia="Calibri" w:cs="David" w:ascii="David" w:hAnsi="David"/>
          <w:rtl w:val="true"/>
        </w:rPr>
        <w:t xml:space="preserve">); 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מסאלחה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9.8.2022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הודגש לא אחת כי יש לנקוט במדיניות ענישה ממשית ומשמעותית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ניתן מעמד בכורה מבין שיקולי הענישה לשיקולי הרתעת היחיד והרבים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שמשמעותה הרחקת עברייני הנשק מהחברה לפרק זמן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ידי השמתם מאחורי סורג ובריח </w:t>
      </w:r>
      <w:r>
        <w:rPr>
          <w:rFonts w:eastAsia="Calibri"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2880/23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עיסא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25.4.2023</w:t>
      </w:r>
      <w:r>
        <w:rPr>
          <w:rFonts w:eastAsia="Calibri" w:cs="David" w:ascii="David" w:hAnsi="David"/>
          <w:rtl w:val="true"/>
        </w:rPr>
        <w:t xml:space="preserve">); 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8900/21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מחאג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עונש מאסר בפועל לתקופה של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בגין עבירות הקשורות לנשק התקפי הוא ברף הנמוך של הענישה הראויה </w:t>
      </w:r>
      <w:r>
        <w:rPr>
          <w:rFonts w:eastAsia="Calibri"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וכפי שקבעתי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המסר העונשי הנגזר ממדיניות הענישה האמורה הוא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נפשו ושלומו – 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78/21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מדיניות הענישה המחמירה חלה על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כל חוליית השרשרת העבריינית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ממי שסוחר בנשק לא חוקי או רכיביו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ועד למי שנוטל אותו לידו ועושה בו שימוש לא חוקי </w:t>
      </w:r>
      <w:r>
        <w:rPr>
          <w:rFonts w:eastAsia="Calibri" w:cs="David" w:ascii="David" w:hAnsi="David"/>
          <w:rtl w:val="true"/>
        </w:rPr>
        <w:t>(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אבו עבסה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firstLine="720" w:end="0"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color w:val="000000"/>
          <w:rtl w:val="true"/>
        </w:rPr>
        <w:t>ב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אבו עבסה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23.01.2022</w:t>
      </w:r>
      <w:r>
        <w:rPr>
          <w:rFonts w:eastAsia="Calibri" w:cs="David" w:ascii="David" w:hAnsi="David"/>
          <w:color w:val="000000"/>
          <w:rtl w:val="true"/>
        </w:rPr>
        <w:t xml:space="preserve">) </w:t>
      </w:r>
      <w:r>
        <w:rPr>
          <w:rFonts w:ascii="David" w:hAnsi="David" w:eastAsia="Calibri"/>
          <w:color w:val="000000"/>
          <w:rtl w:val="true"/>
        </w:rPr>
        <w:t>נאמר כי</w:t>
      </w:r>
      <w:r>
        <w:rPr>
          <w:rFonts w:eastAsia="Calibri" w:cs="David" w:ascii="David" w:hAnsi="David"/>
          <w:color w:val="000000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בנשק בלתי חוקי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ופגיעה ממשית בביטחונם האישי וברווחתם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וכפי שקבעתי במקרה אחר</w:t>
      </w:r>
      <w:r>
        <w:rPr>
          <w:rFonts w:eastAsia="Calibri" w:cs="Calibri" w:ascii="Calibri" w:hAnsi="Calibri"/>
          <w:rtl w:val="true"/>
        </w:rPr>
        <w:t xml:space="preserve">: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  <w:t>'</w:t>
      </w:r>
      <w:r>
        <w:rPr>
          <w:rFonts w:ascii="Calibri" w:hAnsi="Calibri" w:eastAsia="Calibri" w:cs="Calibri"/>
          <w:rtl w:val="true"/>
        </w:rPr>
        <w:t>השימוש בנשק חם ככלי ליישוב סכסוכים הפך לרעה חולה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למשל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דו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 מבקר המדינה התמודדות משטרת ישראל עם החזקת אמצעי לחימה לא חוקיים ואירועי ירי ביישובי החברה הערבית וביישובים מ</w:t>
      </w:r>
      <w:r>
        <w:rPr>
          <w:rFonts w:ascii="David" w:hAnsi="David" w:eastAsia="Calibri"/>
          <w:rtl w:val="true"/>
        </w:rPr>
        <w:t xml:space="preserve">עורבים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Calibri" w:hAnsi="Calibri" w:eastAsia="Calibri" w:cs="Calibri"/>
          <w:rtl w:val="true"/>
        </w:rPr>
        <w:t>על רקע המציאות אותה אנו חווים למרבה הצער מדי 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Calibri" w:ascii="Calibri" w:hAnsi="Calibri"/>
          <w:rtl w:val="true"/>
        </w:rPr>
        <w:t xml:space="preserve">...'.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</w:r>
      <w:r>
        <w:rPr>
          <w:rFonts w:eastAsia="Calibri" w:cs="Calibri" w:ascii="Calibri" w:hAnsi="Calibri"/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/>
      </w:pPr>
      <w:r>
        <w:rPr>
          <w:rFonts w:ascii="Calibri" w:hAnsi="Calibri" w:eastAsia="Calibri" w:cs="Calibri"/>
          <w:rtl w:val="true"/>
        </w:rPr>
        <w:t>בהתאם לזאת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וכחלק מתפקידו של בית המשפט בביעורן של תופעות קשות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דרך הסוחרים 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>."</w:t>
      </w: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567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עוד ראו והשוו</w:t>
      </w:r>
      <w:r>
        <w:rPr>
          <w:rFonts w:eastAsia="Calibri" w:cs="Calibri" w:ascii="Calibri" w:hAnsi="Calibri"/>
          <w:rtl w:val="true"/>
        </w:rPr>
        <w:t xml:space="preserve">: </w:t>
      </w:r>
      <w:hyperlink r:id="rId2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3169/21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אגבאריה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21.6.2021</w:t>
      </w:r>
      <w:r>
        <w:rPr>
          <w:rFonts w:eastAsia="Calibri" w:cs="Calibri" w:ascii="Calibri" w:hAnsi="Calibri"/>
          <w:rtl w:val="true"/>
        </w:rPr>
        <w:t xml:space="preserve">); </w:t>
      </w:r>
      <w:hyperlink r:id="rId2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7473/20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מחאמיד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29.6.21</w:t>
      </w:r>
      <w:r>
        <w:rPr>
          <w:rFonts w:eastAsia="Calibri" w:cs="Calibri" w:ascii="Calibri" w:hAnsi="Calibri"/>
          <w:rtl w:val="true"/>
        </w:rPr>
        <w:t xml:space="preserve">); </w:t>
      </w:r>
      <w:hyperlink r:id="rId2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135/17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בסל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08.03.17</w:t>
      </w:r>
      <w:r>
        <w:rPr>
          <w:rFonts w:eastAsia="Calibri" w:cs="Calibri" w:ascii="Calibri" w:hAnsi="Calibri"/>
          <w:rtl w:val="true"/>
        </w:rPr>
        <w:t xml:space="preserve">); </w:t>
      </w:r>
      <w:hyperlink r:id="rId3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4079/21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פלוני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20.6.21</w:t>
      </w:r>
      <w:r>
        <w:rPr>
          <w:rFonts w:eastAsia="Calibri" w:cs="Calibri" w:ascii="Calibri" w:hAnsi="Calibri"/>
          <w:rtl w:val="true"/>
        </w:rPr>
        <w:t xml:space="preserve">); </w:t>
      </w:r>
      <w:hyperlink r:id="rId3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6277/20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היילי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24.3.21</w:t>
      </w:r>
      <w:r>
        <w:rPr>
          <w:rFonts w:eastAsia="Calibri" w:cs="Calibri" w:ascii="Calibri" w:hAnsi="Calibri"/>
          <w:rtl w:val="true"/>
        </w:rPr>
        <w:t xml:space="preserve">); </w:t>
      </w:r>
      <w:hyperlink r:id="rId3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147/21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ביטון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14.2.21</w:t>
      </w:r>
      <w:r>
        <w:rPr>
          <w:rFonts w:eastAsia="Calibri" w:cs="Calibri" w:ascii="Calibri" w:hAnsi="Calibri"/>
          <w:rtl w:val="true"/>
        </w:rPr>
        <w:t xml:space="preserve">); </w:t>
      </w:r>
      <w:hyperlink r:id="rId3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2564/19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אזברגה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18.7.19</w:t>
      </w:r>
      <w:r>
        <w:rPr>
          <w:rFonts w:eastAsia="Calibri" w:cs="Calibri" w:ascii="Calibri" w:hAnsi="Calibri"/>
          <w:rtl w:val="true"/>
        </w:rPr>
        <w:t xml:space="preserve">); 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5807/20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שיבלי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30.12.20</w:t>
      </w:r>
      <w:r>
        <w:rPr>
          <w:rFonts w:eastAsia="Calibri" w:cs="David" w:ascii="David" w:hAnsi="David"/>
          <w:rtl w:val="true"/>
        </w:rPr>
        <w:t xml:space="preserve">); </w:t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1944/20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אמארה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2.9.20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Calibri" w:ascii="Calibri" w:hAnsi="Calibri"/>
          <w:rtl w:val="true"/>
        </w:rPr>
        <w:t xml:space="preserve"> </w:t>
      </w:r>
      <w:hyperlink r:id="rId3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3619/21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אבו הלאל ואח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26.5.21</w:t>
      </w:r>
      <w:r>
        <w:rPr>
          <w:rFonts w:eastAsia="Calibri" w:cs="Calibri" w:ascii="Calibri" w:hAnsi="Calibri"/>
          <w:rtl w:val="true"/>
        </w:rPr>
        <w:t xml:space="preserve">); </w:t>
      </w:r>
      <w:hyperlink r:id="rId3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5522/20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חלייחל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24.02.2021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אף המחוקק נרתם למלחמת החורמה שיש לנהל כנגד 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ובתיקון ל</w:t>
      </w:r>
      <w:hyperlink r:id="rId3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הוחמרה הענישה ביחס לעבירות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אגב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התיקון החמיר את העונש הקבוע בצדה של עבירת הרכישה של כלי נשק משבע שנות מאסר לעשר 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קבע כי בתקופה של שלוש שנים מיום פרסומו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יפחת עונשו של מי שהורשע בעבירות המנויות </w:t>
      </w:r>
      <w:hyperlink r:id="rId39">
        <w:r>
          <w:rPr>
            <w:rStyle w:val="Hyperlink"/>
            <w:rFonts w:ascii="David" w:hAnsi="David" w:eastAsia="Calibri"/>
            <w:color w:val="0000FF"/>
            <w:rtl w:val="true"/>
          </w:rPr>
          <w:t>בסעיף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יחליט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בעונשו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נקבע כי עונש מאסר לפי אותו סעיף לא יהא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בהעדר טעמים מיוחדים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כולו על תנאי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לצד עבירת האלימות החמורה בה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הורשע גם בעבירה של נשיאה והובלת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שחומרתה עומדת בפני עצמה ומחייבת גם היא ענישה הולמת ומחמירה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4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סובח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נאמר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היא התשתית 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הגורם בלעדו איין</w:t>
      </w:r>
      <w:r>
        <w:rPr>
          <w:rFonts w:eastAsia="Calibri" w:cs="David" w:ascii="David" w:hAnsi="David"/>
          <w:rtl w:val="true"/>
        </w:rPr>
        <w:t>" (</w:t>
      </w:r>
      <w:r>
        <w:rPr>
          <w:rFonts w:eastAsia="Calibri" w:cs="David" w:ascii="David" w:hAnsi="David"/>
        </w:rPr>
        <w:t>causa sine qua non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למגוון רחב של 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בעבירות איומים ושוד מזוין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המשך בעבירות גרימת חבלה חמורה וכלה בעבירות המתה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לעתים קרובות הנשק הבלתי חוקי נרכש מלכתחילה למטרות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ואף אם הנשק נרכש למטרות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הגנה עצמית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הזמינות של הנשק מעודדת את השימוש בו לביצוע עבירות שונות ולחרפת תוצאותיהן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על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המאבק בתופעות האלימות החמורות בחברה הישראלית בהן נעשה שימוש בנשק מחייב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מעבר למאמץ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לשים יד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על כלי הנשק הבלתי חוקיים הרבים שבידי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ענישה מחמירה ומרתיעה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על עצם החזקה או רכישה שלא כדין של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...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בבחינת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ייבוש הביצה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המשמשת ערס לגידולן של תופעות אלה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מהלך כזה מחייב הירתמות גם של בתי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ידי ענישה מחמירה ומרתיעה לעבירות נשק בלתי חוקי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וכל שכן מקום שנעשה בנשק כזה שימוש בביצוע עבירות אלימות לסוגיהן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הורשע הנאשם גם בעבירה של ירי באזור מגורים שאף היא חמורה ומסכנת חיים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הנסיבות הקשורות בביצוע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נתתי דעתי לחילופי הדברים שהתנהלו בין הנאשם למתלונן ויסמין יום קודם לאירוע 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נתתי דעתי לעובדה שהמתלונן הוא זה שהגיע עד סמוך לביתה של חנאן בזמן שהנאשם שהה במקום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יום קודם לאירוע ביקש הנאשם פעמיים מהמתלונן להגיע למוחרקה כדי לבוא עמו חשבון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כשהגיע המתלונן למקום גילה כי הנאשם כלל לא הגיע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אני נכון להניח לטובתו של הנאשם כי הוא נמנע מלהגיע למוחרקה על מנת שלא להסלים את הסכסוך עם המתלונן ולא לדרדר את המצב לכדי עימות פיזי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משהגיע המתלונן עד לפתח ביתה של חנאן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היסס הנאשם לשלוף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לירות תחילה באוויר ולאחר מכן לירות לכיוונו של המתלונן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אני דוחה את טענת הנאשם לפיה הוא ירה לעבר המתלונן משום שחש מאוים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מעובדות כתב האישום עולה כי לאחר שהנאשם ירה שתי יריות באוויר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ביצע המתלונן פניית פרסה על מנת להימלט מהמקום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אילו אכן נבעו מעשיו של הנאשם מתוך חשש ופחד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יכול היה לעצור את האירוע בשלב זה ולאפשר למתלונן לעזוב את הזירה מבלי להביא להסלמה נוספת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אלא שהוא בחר לפעול אחרת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ובעוד המתלונן מבצע פניית פרסה על מנת להימלט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יצא הנאשם מביתו כשהוא נושא ומוביל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וירה לעבר המתלונן ופגע בראשו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בנסיבות הקשורות בביצוע עבירת הירי הבאתי בחשבון גם את העובדה שהנאשם ירה לעברו של המתלונן כדור אחד ועוד שני כדורים באוויר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הכדור היחיד שנורה לעבר המתלונן פגע בו אמנם באופן קשה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מדובר במטח של יריות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הבאתי בחשבון את העובדה שמדובר באקדח ולא בנשק פוגעני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כגון רובה או נשק אוטומטי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לנסיבות הקשורות בביצוע העבירות ראיתי להביא בחשבון גם את הנזקים החמורים שנגרמו למתלונן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בגינם הוא נדרש לאשפוז למשך עשרה 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במהלכו עבר ניתוח כשהוא מורדם ומונשם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הנזקים שנגרמו למתלונן כוללים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פצע כניסה בלחי ימין ופצע יציאה בלחי שמאל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שברים מרוסקים בעצמות הלחיים הן מימין והן משמאל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שברים מרוסקים באזור הסינוסים וחלל האף וכן שברים בקיר תחתון של ארובת העין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בפגיעה משמעותית וחמורה באיבר חיוני ורגיש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אין צורך להכביר במילים לגבי פוטנציאל הנזק החמור שעלול היה להיגרם הן למתלונן והן לקיאן שישב לידו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כפי שציינתי קודם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רק בנס לא הסתיים האירוע בקיפוח חיים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הענישה המוטלת בגין העבירה של חבלה חמורה בנסיבות מחמירות נגזרת מנסיבות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שעשויה להתרחש במגוון רחב מאוד של מצבים ורמות 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מנסיבותיו של המבצע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בע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פ </w:t>
      </w:r>
      <w:r>
        <w:rPr>
          <w:rFonts w:eastAsia="Calibri" w:cs="Calibri" w:ascii="Calibri" w:hAnsi="Calibri"/>
        </w:rPr>
        <w:t>9580/15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זדה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23.3.2016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נקבע כי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מטבע הדברים שאירועי אלימות המגולמים בעבירה של 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חבלה חמורה בנסיבות מחמירות</w:t>
      </w:r>
      <w:r>
        <w:rPr>
          <w:rFonts w:eastAsia="Calibri" w:cs="Calibri" w:ascii="Calibri" w:hAnsi="Calibri"/>
          <w:rtl w:val="true"/>
        </w:rPr>
        <w:t xml:space="preserve">', </w:t>
      </w:r>
      <w:r>
        <w:rPr>
          <w:rFonts w:ascii="Calibri" w:hAnsi="Calibri" w:eastAsia="Calibri" w:cs="Calibri"/>
          <w:rtl w:val="true"/>
        </w:rPr>
        <w:t>שהיא העבירה העיקרית בה הורשע המשיב בענייננו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עשויים להתרחש במגוון רחב מאוד של מצבים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נסיבות ביצוע ורמות חומרה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ואכן הפסיקה בתחום זה כוללת מנעד רחב של רמות 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לצד מקרים של ענישה מקלה הוטלו במקרים אחרים עונשים חמורים של שנות מאסר ארוכות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הכל בהתאם לנסיבות הספציפיות של כל מקרה לגופו</w:t>
      </w:r>
      <w:r>
        <w:rPr>
          <w:rFonts w:eastAsia="Calibri" w:cs="Calibri" w:ascii="Calibri" w:hAnsi="Calibri"/>
          <w:rtl w:val="true"/>
        </w:rPr>
        <w:t xml:space="preserve">... </w:t>
      </w:r>
      <w:r>
        <w:rPr>
          <w:rFonts w:ascii="Calibri" w:hAnsi="Calibri" w:eastAsia="Calibri" w:cs="Calibri"/>
          <w:rtl w:val="true"/>
        </w:rPr>
        <w:t>בקביעת מתחם העונש ההולם ובגזירת הדין בגדרו אין די כמובן בהתייחסות לסעיף העבירה בו הורשע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אלא העיקר הוא בעובדות ובנסיבות האירועים הספציפיים בגינן הורשע הנאשם </w:t>
      </w:r>
      <w:r>
        <w:rPr>
          <w:rFonts w:eastAsia="Calibri" w:cs="Calibri" w:ascii="Calibri" w:hAnsi="Calibri"/>
          <w:rtl w:val="true"/>
        </w:rPr>
        <w:t>(</w:t>
      </w:r>
      <w:hyperlink r:id="rId4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1997/13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פלוני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29.8.2013</w:t>
      </w:r>
      <w:r>
        <w:rPr>
          <w:rFonts w:eastAsia="Calibri" w:cs="Calibri" w:ascii="Calibri" w:hAnsi="Calibri"/>
          <w:rtl w:val="true"/>
        </w:rPr>
        <w:t>))".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להלן מספר דוגמאות מהפסיקה המתייחסת לעבירות של חבלה חמורה בנסיבות מחמירות מהעת האחרונה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4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8012/23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מחאמיד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9.7.2024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נדחה ערעורו של מי שהורשע בעבירה של חבלה חמורה בנסיבות מחמירות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עבירות בנשק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תקיפה הגורמת חבלה ממשית ונהיגה בפסילה וללא פוליסת ביטוח בת תוקף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מדובר היה במערער שהעסיק את המתלונן בעבודות בנייה משך מספר שבועות ובין השניים נתגלעה מחלוקת על רקע טענות לאי תשלום שכרו המלא של המתלונן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רקע אותה מחלוקת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התנהלו חילופי הודעות קוליות בין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במהלכם איים המערער על המתלונן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המערער לביתו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צפר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וכשזה יצא אל מחוץ לביתו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ירה בו מטווח קצר כדור שלא פגע בו ובהמשך התקרב ובהיותו צמוד אליו ירה לעבר פלג גופו התחתון ירייה נוספת שפגעה בו והוא נפל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המערער הוסיף וירה לעבר פלג גופו התחתון של המתלונן בעודו שכוב על הקרקע שתי יריות נוספות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בסך הכל נפגע המתלונן משלושה קליעים שפגעו בפלג גופו התחתון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נכנס המערער לרכבו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אמו של המתלונן ניגשה לעבר הרכב וניסתה לאחוז בו על מנת למנוע ממנו לעזוב את 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המערער נסע לאחור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נצמד לרכב אחר ואמו של המתלונן נפלה על הכביש ואיבדה את הכרתה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עונש הולם הנע בין </w:t>
      </w:r>
      <w:r>
        <w:rPr>
          <w:rFonts w:eastAsia="Calibri" w:cs="David" w:ascii="David" w:hAnsi="David"/>
        </w:rPr>
        <w:t>8-5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לריצוי בפועל וגזר בסופו של דבר על המערער </w:t>
      </w:r>
      <w:r>
        <w:rPr>
          <w:rFonts w:eastAsia="Calibri" w:cs="David" w:ascii="David" w:hAnsi="David"/>
        </w:rPr>
        <w:t>5.5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הורה בית המשפט המחוזי על הפעלת מאסר מותנה בן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שהוטל על המערער בתיק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כך שבסך הכל הוטלו עליו </w:t>
      </w:r>
      <w:r>
        <w:rPr>
          <w:rFonts w:eastAsia="Calibri" w:cs="David" w:ascii="David" w:hAnsi="David"/>
        </w:rPr>
        <w:t>71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הערעור על חומרת העונש ונוכח המלצתו של בית 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חזר בו המערער מהערעור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4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4406/19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סובח ואח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5.11.2019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קיבל בית המשפט העליון את ערעור המדינה על קולת העונשים שהושתו על המשיבים ודחה את ערעורם הנגדי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מדובר במי שהורשעו בביצוע עבירות של חבלה חמורה בנסיבות מחמירות ועבירות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רקע סכסוך  בין משפחת המתלוננים למשפחת המשיבים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באותו מקרה ירו המשיבים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יחד עם אחר לעבר המתלונן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שעמד ליד 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מתוך רכב שבו נסעו ופגעו בבטנו התחתונה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משיב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ירה באמצעות אקדח במקום אחר לעבר מתלונן נוסף ופגע בו בירך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ולאחר מכן ירה לעבר אנשים אחרים מבלי שפגע בהם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העליון קיבל את ערעור המדינה על קולת העונש וגזר על המשיב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שש שנות מאסר תחת </w:t>
      </w:r>
      <w:r>
        <w:rPr>
          <w:rFonts w:eastAsia="Calibri" w:cs="Calibri" w:ascii="Calibri" w:hAnsi="Calibri"/>
        </w:rPr>
        <w:t>50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שנגזרו על ידי בית המשפט המחוזי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על משיב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גזר בית המשפט חמש שנות מאסר תחת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ועל משיב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נגזרו </w:t>
      </w:r>
      <w:r>
        <w:rPr>
          <w:rFonts w:eastAsia="Calibri" w:cs="Calibri" w:ascii="Calibri" w:hAnsi="Calibri"/>
        </w:rPr>
        <w:t>3.5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שנות מאסר תחת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שנגזרו עליו בבית המשפט המחוזי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4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1843/19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עמאש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2.10.2019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מדובר במי שהורשע בעבירות של חבלה חמורה בנסיבות מחמירות והחזקה ונשיאה של נשק ונדון על ידי בית המשפט המחוזי לעונש של </w:t>
      </w:r>
      <w:r>
        <w:rPr>
          <w:rFonts w:eastAsia="Calibri" w:cs="Calibri" w:ascii="Calibri" w:hAnsi="Calibri"/>
        </w:rPr>
        <w:t>4.5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שנות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באותו מקרה ירה המערער מספר כדורים לעבר אדם איתו היה מסוכסך ופגע בידו של ילד בן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שעמד בסמוך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דחה את ערעורו של המערער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הגם שמדובר במי שאין לחובתו עבר פלילי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4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1971/19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אבו חוסין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30.6.2019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מדובר במי שהורשע בעבירות של חבלה חמורה בנסיבות מחמירות ונשיאת נשק והובלתו שלא כדין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המערער ירה אל עבר המתלונן מספר כדורים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רקע סכסוך כספי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פגע בו בירך וגרם לו למספר פגיעות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גזר עליו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לריצוי בפועל ובבית המשפט העליון חזר בו המערער מערעורו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לגבי העבירה של נשיאה והובלה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נקבע בפסיקה כי מתחם העונש ההולם אותו ראוי לקבוע לגבי נאשם בגיר שהורשע בנשיאה של נשק חם באופן בלתי חוקי במרחב הציבורי נע ככלל בין </w:t>
      </w:r>
      <w:r>
        <w:rPr>
          <w:rFonts w:eastAsia="Calibri" w:cs="David" w:ascii="David" w:hAnsi="David"/>
        </w:rPr>
        <w:t>42-30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4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14.09.2022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נפסק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בהמשך לדברים אלה הבהרתי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בפסק הדין שניתן באחרונה בהסכמת חבריי השופטים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אלרון וי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כשר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בטיפולנו בעבירות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>מסוג זה ובמבצעיהן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ועל 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יעדים עונשיים אלו מוחקים מניה וביה את בקשת העבריין לשיקום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hyperlink r:id="rId4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(‏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מסיבה פשוטה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בימים קשים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eastAsia="Calibri" w:cs="David" w:ascii="David" w:hAnsi="David"/>
          <w:rtl w:val="true"/>
        </w:rPr>
        <w:t>." (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בהקשר זה אוסיף ואציין את המובן מאליו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...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כעולה מפסיקתו של בית משפט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Calibri" w:cs="David" w:ascii="David" w:hAnsi="David"/>
          <w:u w:val="single"/>
        </w:rPr>
        <w:t>30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eastAsia="Calibri" w:cs="David" w:ascii="David" w:hAnsi="David"/>
          <w:u w:val="single"/>
        </w:rPr>
        <w:t>42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 xml:space="preserve">חודשי מאסר בין סורג ובריח </w:t>
      </w:r>
      <w:r>
        <w:rPr>
          <w:rFonts w:eastAsia="Calibri" w:cs="David" w:ascii="David" w:hAnsi="David"/>
          <w:u w:val="single"/>
          <w:rtl w:val="true"/>
        </w:rPr>
        <w:t>(</w:t>
      </w:r>
      <w:r>
        <w:rPr>
          <w:rFonts w:ascii="David" w:hAnsi="David" w:eastAsia="Calibri"/>
          <w:u w:val="single"/>
          <w:rtl w:val="true"/>
        </w:rPr>
        <w:t>לצד עונשים נלווים בדמותם של מאסר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ascii="David" w:hAnsi="David" w:eastAsia="Calibri"/>
          <w:u w:val="single"/>
          <w:rtl w:val="true"/>
        </w:rPr>
        <w:t>על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ascii="David" w:hAnsi="David" w:eastAsia="Calibri"/>
          <w:u w:val="single"/>
          <w:rtl w:val="true"/>
        </w:rPr>
        <w:t>תנאי וקנס</w:t>
      </w:r>
      <w:r>
        <w:rPr>
          <w:rFonts w:eastAsia="Calibri" w:cs="David" w:ascii="David" w:hAnsi="David"/>
          <w:u w:val="single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ראו והשוו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נורי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עניין קואסמה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עניין ביטון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ועניין חלייחל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הווה אומר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באין נסיבות מיוחדות לחומרא או לקולא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יהא זה בהחלט סביר אם בית משפט יטיל על נאשם כאמור עונש של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תקוותי היא כי אמות מידה אלה תנחנה את הערכאות הדיוניות באופן שיטתי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שמדיניות הענישה אשר נקוטה בידינו ביחס לעבירות נשק תיושם כהלכתה ובמלוא עוצמתה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 xml:space="preserve">ההדגשה אינה במקור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ט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4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5856/22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טאיע סויטאת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21.03.2023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בעבירות של נשיאה והובלת נשק ותחמושת שלא כדין והפרעה לשוטר במילוי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במערער שנסע עם אדם אחר כשהוא נושא אקדח מסוג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ובו מחסנית ריקה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הגיע הרכב למחסום משטרתי הנהג עצר את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המערער יצא מהרכב והחל להימלט מהמקום ובחלוף מרדף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שבמהלכו השליך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נתפס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הרשיע את המערער לאחר ניהול הוכחות וגזר עליו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שהוגש כנגד הכרעת הדין וגזר הדין נדחה על ידי בית המשפט העליון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יודגש כי באותו מקרה דובר בנשיאה והובלה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שנעשה 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כל שכן מבלי שנפגע מאן דהו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אשר לעבירה של ירי מנשק חם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להלן מספר דוגמאות מהפסיקה –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שוויקי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26.5.2021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21.6.2021</w:t>
      </w:r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2.7.2020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הערכים המוגנים שנפגעו מביצוע העבירות בענייננו ונתתי דעתי לנסיבות ביצוען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שעמדתי על מדיניות הענישה הנוהגת במקרים דומים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בענייננו נע בין </w:t>
      </w:r>
      <w:r>
        <w:rPr>
          <w:rFonts w:eastAsia="Calibri" w:cs="David" w:ascii="David" w:hAnsi="David"/>
        </w:rPr>
        <w:t>8-5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עונשו של הנאשם בתוך המתחם שנקבע לגביו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הבאתי בחשבון את הודאתו בעבירות המיוחסות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ניתנה בשלב מוקדם של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עוד בטרם החלה שמיעת הראיות בתיק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הודאה זו המגלמת נטילת אחריות מצד הנאשם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הביאה לחיסכון בזמן שיפוטי יקר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וייתרה את הצורך בהעדת עדי תביעה רבים ובראשם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כל הקושי הכרוך בשחזור האירוע הטראומטי מושא הדיון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מצד 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הבאתי בחשבון גם את הרשעותיו הקודמות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כעולה מתדפיס רישומו הפלילי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נכון הוא שלא מדובר בעבר מכביד והעבירות בהן הורשע הנאשם נעשו לפני זמן 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אין מקום להתעלם מאותן הרשעות כליל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בייחוד כשאחת מהן עניינה עבירות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color w:val="000000"/>
        </w:rPr>
      </w:pP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נתתי דעתי גם לנסיבותיו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למצבו הרפואי של אביו ולדברי החרטה שהביע בפניי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בהצהרה לגבי יישור ההדורים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או בשמה השגור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הסכם הסולחה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מיום </w:t>
      </w:r>
      <w:r>
        <w:rPr>
          <w:rFonts w:eastAsia="Calibri" w:cs="David" w:ascii="David" w:hAnsi="David"/>
        </w:rPr>
        <w:t>9.6.2024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נאמר כי הצדדים הצליחו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בעזרתם של מכובדים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ליישב את ההדורים ביניהם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כל ההערכה לאלו שפעלו להרגעת הרוחות ויישוב ההדורים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ראיתי לייחס להסכם זה משקל 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בייחוד נוכח חומרתן של העבירות בהן הורשע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יפים לעניין זה הדברים שנאמרו </w:t>
      </w:r>
      <w:r>
        <w:rPr>
          <w:rFonts w:ascii="Calibri" w:hAnsi="Calibri" w:eastAsia="Calibri" w:cs="Calibri"/>
          <w:rtl w:val="true"/>
        </w:rPr>
        <w:t>ב</w:t>
      </w:r>
      <w:hyperlink r:id="rId5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6496/21</w:t>
        </w:r>
      </w:hyperlink>
      <w:r>
        <w:rPr>
          <w:rFonts w:eastAsia="Calibri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ריאן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20.12.2021</w:t>
      </w:r>
      <w:r>
        <w:rPr>
          <w:rFonts w:eastAsia="Calibri" w:cs="David" w:ascii="David" w:hAnsi="David"/>
          <w:color w:val="000000"/>
          <w:rtl w:val="true"/>
        </w:rPr>
        <w:t xml:space="preserve">):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color w:val="000000"/>
        </w:rPr>
      </w:pPr>
      <w:r>
        <w:rPr>
          <w:rFonts w:eastAsia="Calibri" w:cs="David" w:ascii="David" w:hAnsi="David"/>
          <w:color w:val="000000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  <w:sz w:val="20"/>
          <w:szCs w:val="20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במסגרת בחינת משקלה של סולחה מסוימת על בית המשפט ליתן את דעתו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לרקע להסכם הסולחה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משמעות הוראותיו של ההסכם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יציבותו ופערי הכוחות שעמדו מאחורי חתימתו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: </w:t>
      </w:r>
      <w:hyperlink r:id="rId5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7473/20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מחאמיד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29.6.2021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בהינתן שהסולחה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מטבעה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מהווה הסכמה קבוצתית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שעשויה לכלול הפעלת אי אלו לחצים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הרי שיש לראות בה הסכמה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חשודה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על בית המשפט לנסות להתרשם מעמדתם האישית והכנה של הנאשם ונפגעי העבירה הישירים לגביה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Nurit Tsafrir, Arab Customary Law in Israel: Sulha Agreements and Israeli Courts, 13 ISLAM. LAW SOC. 76, 95 (2006)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בהתאם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לבחון שזו לא נכפתה על הצדדים הר כגיגית </w:t>
      </w:r>
      <w:r>
        <w:rPr>
          <w:rFonts w:eastAsia="Calibri" w:cs="David" w:ascii="David" w:hAnsi="David"/>
          <w:rtl w:val="true"/>
        </w:rPr>
        <w:t>(</w:t>
      </w:r>
      <w:hyperlink r:id="rId5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3623/11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פרעוני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49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26.11.2012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ascii="David" w:hAnsi="David" w:eastAsia="Calibri"/>
          <w:rtl w:val="true"/>
        </w:rPr>
        <w:t>ו</w:t>
      </w:r>
      <w:hyperlink r:id="rId5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2127/17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עלוש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28.2.2018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ראו גם עדנה ארבל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מעמדו של קרבן העבירה בהליך המשפטי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ספר גבריאל בך </w:t>
      </w:r>
      <w:r>
        <w:rPr>
          <w:rFonts w:eastAsia="Calibri" w:cs="David" w:ascii="David" w:hAnsi="David"/>
        </w:rPr>
        <w:t>189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213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2011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וכן אורי ינאי ושאוקי עדווי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מסורות ליישוב קונפליקט פלילי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מה בין 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סולחה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ובין הליך 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צדק מאחה</w:t>
      </w:r>
      <w:r>
        <w:rPr>
          <w:rFonts w:eastAsia="Calibri" w:cs="David" w:ascii="David" w:hAnsi="David"/>
          <w:rtl w:val="true"/>
        </w:rPr>
        <w:t xml:space="preserve">'" </w:t>
      </w:r>
      <w:r>
        <w:rPr>
          <w:rFonts w:ascii="David" w:hAnsi="David" w:eastAsia="Calibri"/>
          <w:rtl w:val="true"/>
        </w:rPr>
        <w:t xml:space="preserve">מפגיעה לאיחוי – צדק מאחה ושיח מאחה בישראל </w:t>
      </w:r>
      <w:r>
        <w:rPr>
          <w:rFonts w:eastAsia="Calibri" w:cs="David" w:ascii="David" w:hAnsi="David"/>
        </w:rPr>
        <w:t>51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71-70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אורי ינאי וטלי גל עורכים </w:t>
      </w:r>
      <w:r>
        <w:rPr>
          <w:rFonts w:eastAsia="Calibri" w:cs="David" w:ascii="David" w:hAnsi="David"/>
        </w:rPr>
        <w:t>2016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לצד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וכמשקל נגד להסכמה גופה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ליתן משקל משמעותי לחומרת המעשים שברקע השגת הסולחה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ככל שמדובר במעשים חמורים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הרי שבית המשפט יטה שלא לייחס משמעות משפטית לסולחה כלל </w:t>
      </w:r>
      <w:r>
        <w:rPr>
          <w:rFonts w:eastAsia="Calibri" w:cs="David" w:ascii="David" w:hAnsi="David"/>
          <w:rtl w:val="true"/>
        </w:rPr>
        <w:t>(</w:t>
      </w:r>
      <w:hyperlink r:id="rId5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4131/13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שמארי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13.3.2014</w:t>
      </w:r>
      <w:r>
        <w:rPr>
          <w:rFonts w:eastAsia="Calibri" w:cs="David" w:ascii="David" w:hAnsi="David"/>
          <w:rtl w:val="true"/>
        </w:rPr>
        <w:t>))".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sz w:val="20"/>
          <w:szCs w:val="20"/>
        </w:rPr>
      </w:pPr>
      <w:r>
        <w:rPr>
          <w:rFonts w:eastAsia="Calibri" w:cs="David" w:ascii="David" w:hAnsi="David"/>
          <w:sz w:val="20"/>
          <w:szCs w:val="20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יסוד מקבץ הטעמים שמניתי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5.5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ימי מעצרו מיום </w:t>
      </w:r>
      <w:r>
        <w:rPr>
          <w:rFonts w:eastAsia="Calibri" w:cs="David" w:ascii="David" w:hAnsi="David"/>
        </w:rPr>
        <w:t>24.8.2023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היום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לבל יעבור 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כל עבירת אלימות או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לבל יעבור 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כל עבירת אלימות או נשק מסוג עוון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שנתיים עבירת איומים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פיצוי למתלונן בסך </w:t>
      </w:r>
      <w:r>
        <w:rPr>
          <w:rFonts w:eastAsia="Calibri" w:cs="David" w:ascii="David" w:hAnsi="David"/>
        </w:rPr>
        <w:t>25,000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שישולם באמצעות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יאוחר מיום </w:t>
      </w:r>
      <w:r>
        <w:rPr>
          <w:rFonts w:eastAsia="Calibri" w:cs="David" w:ascii="David" w:hAnsi="David"/>
        </w:rPr>
        <w:t>1.10.2024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תמוז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32775-09-23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דניאל סאלח</w:t>
    </w:r>
    <w:r>
      <w:rPr>
        <w:rFonts w:cs="David" w:ascii="David" w:hAnsi="David"/>
        <w:color w:val="000000"/>
        <w:sz w:val="22"/>
        <w:szCs w:val="22"/>
        <w:rtl w:val="true"/>
      </w:rPr>
      <w:t>,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40a.b.1." TargetMode="External"/><Relationship Id="rId10" Type="http://schemas.openxmlformats.org/officeDocument/2006/relationships/hyperlink" Target="http://www.nevo.co.il/law/70301/340a.b.2" TargetMode="External"/><Relationship Id="rId11" Type="http://schemas.openxmlformats.org/officeDocument/2006/relationships/hyperlink" Target="http://www.nevo.co.il/law/70301/333;335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40a.b.1.;340a.b.2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40i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9486731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case/28452933" TargetMode="External"/><Relationship Id="rId21" Type="http://schemas.openxmlformats.org/officeDocument/2006/relationships/hyperlink" Target="http://www.nevo.co.il/case/28660017" TargetMode="External"/><Relationship Id="rId22" Type="http://schemas.openxmlformats.org/officeDocument/2006/relationships/hyperlink" Target="http://www.nevo.co.il/case/29564821" TargetMode="External"/><Relationship Id="rId23" Type="http://schemas.openxmlformats.org/officeDocument/2006/relationships/hyperlink" Target="http://www.nevo.co.il/case/28207045" TargetMode="External"/><Relationship Id="rId24" Type="http://schemas.openxmlformats.org/officeDocument/2006/relationships/hyperlink" Target="http://www.nevo.co.il/case/28697227" TargetMode="External"/><Relationship Id="rId25" Type="http://schemas.openxmlformats.org/officeDocument/2006/relationships/hyperlink" Target="http://www.nevo.co.il/case/27734980" TargetMode="External"/><Relationship Id="rId26" Type="http://schemas.openxmlformats.org/officeDocument/2006/relationships/hyperlink" Target="http://www.nevo.co.il/case/27734980" TargetMode="External"/><Relationship Id="rId27" Type="http://schemas.openxmlformats.org/officeDocument/2006/relationships/hyperlink" Target="http://www.nevo.co.il/case/27603872" TargetMode="External"/><Relationship Id="rId28" Type="http://schemas.openxmlformats.org/officeDocument/2006/relationships/hyperlink" Target="http://www.nevo.co.il/case/27115374" TargetMode="External"/><Relationship Id="rId29" Type="http://schemas.openxmlformats.org/officeDocument/2006/relationships/hyperlink" Target="http://www.nevo.co.il/case/22006503" TargetMode="External"/><Relationship Id="rId30" Type="http://schemas.openxmlformats.org/officeDocument/2006/relationships/hyperlink" Target="http://www.nevo.co.il/case/27693610" TargetMode="External"/><Relationship Id="rId31" Type="http://schemas.openxmlformats.org/officeDocument/2006/relationships/hyperlink" Target="http://www.nevo.co.il/case/26986954" TargetMode="External"/><Relationship Id="rId32" Type="http://schemas.openxmlformats.org/officeDocument/2006/relationships/hyperlink" Target="http://www.nevo.co.il/case/27309272" TargetMode="External"/><Relationship Id="rId33" Type="http://schemas.openxmlformats.org/officeDocument/2006/relationships/hyperlink" Target="http://www.nevo.co.il/case/25612982" TargetMode="External"/><Relationship Id="rId34" Type="http://schemas.openxmlformats.org/officeDocument/2006/relationships/hyperlink" Target="http://www.nevo.co.il/case/26934681" TargetMode="External"/><Relationship Id="rId35" Type="http://schemas.openxmlformats.org/officeDocument/2006/relationships/hyperlink" Target="http://www.nevo.co.il/case/26538254" TargetMode="External"/><Relationship Id="rId36" Type="http://schemas.openxmlformats.org/officeDocument/2006/relationships/hyperlink" Target="http://www.nevo.co.il/case/27648787" TargetMode="External"/><Relationship Id="rId37" Type="http://schemas.openxmlformats.org/officeDocument/2006/relationships/hyperlink" Target="http://www.nevo.co.il/case/26905927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25824863" TargetMode="External"/><Relationship Id="rId42" Type="http://schemas.openxmlformats.org/officeDocument/2006/relationships/hyperlink" Target="http://www.nevo.co.il/case/7977312" TargetMode="External"/><Relationship Id="rId43" Type="http://schemas.openxmlformats.org/officeDocument/2006/relationships/hyperlink" Target="http://www.nevo.co.il/case/30176735" TargetMode="External"/><Relationship Id="rId44" Type="http://schemas.openxmlformats.org/officeDocument/2006/relationships/hyperlink" Target="http://www.nevo.co.il/case/25824863" TargetMode="External"/><Relationship Id="rId45" Type="http://schemas.openxmlformats.org/officeDocument/2006/relationships/hyperlink" Target="http://www.nevo.co.il/case/25528733" TargetMode="External"/><Relationship Id="rId46" Type="http://schemas.openxmlformats.org/officeDocument/2006/relationships/hyperlink" Target="http://www.nevo.co.il/case/25546727" TargetMode="External"/><Relationship Id="rId47" Type="http://schemas.openxmlformats.org/officeDocument/2006/relationships/hyperlink" Target="http://www.nevo.co.il/case/28883087" TargetMode="External"/><Relationship Id="rId48" Type="http://schemas.openxmlformats.org/officeDocument/2006/relationships/hyperlink" Target="http://www.nevo.co.il/case/28697227" TargetMode="External"/><Relationship Id="rId49" Type="http://schemas.openxmlformats.org/officeDocument/2006/relationships/hyperlink" Target="http://www.nevo.co.il/case/28916087" TargetMode="External"/><Relationship Id="rId50" Type="http://schemas.openxmlformats.org/officeDocument/2006/relationships/hyperlink" Target="http://www.nevo.co.il/case/27436592" TargetMode="External"/><Relationship Id="rId51" Type="http://schemas.openxmlformats.org/officeDocument/2006/relationships/hyperlink" Target="http://www.nevo.co.il/case/27603872" TargetMode="External"/><Relationship Id="rId52" Type="http://schemas.openxmlformats.org/officeDocument/2006/relationships/hyperlink" Target="http://www.nevo.co.il/case/26492590" TargetMode="External"/><Relationship Id="rId53" Type="http://schemas.openxmlformats.org/officeDocument/2006/relationships/hyperlink" Target="http://www.nevo.co.il/case/27933514" TargetMode="External"/><Relationship Id="rId54" Type="http://schemas.openxmlformats.org/officeDocument/2006/relationships/hyperlink" Target="http://www.nevo.co.il/case/27115374" TargetMode="External"/><Relationship Id="rId55" Type="http://schemas.openxmlformats.org/officeDocument/2006/relationships/hyperlink" Target="http://www.nevo.co.il/case/5906202" TargetMode="External"/><Relationship Id="rId56" Type="http://schemas.openxmlformats.org/officeDocument/2006/relationships/hyperlink" Target="http://www.nevo.co.il/case/22301096" TargetMode="External"/><Relationship Id="rId57" Type="http://schemas.openxmlformats.org/officeDocument/2006/relationships/hyperlink" Target="http://www.nevo.co.il/case/7674250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2024-07-21T06:34:00Z</dcterms:created>
  <dc:creator> </dc:creator>
  <dc:description/>
  <cp:keywords/>
  <dc:language>en-IL</dc:language>
  <cp:lastModifiedBy>h1</cp:lastModifiedBy>
  <dcterms:modified xsi:type="dcterms:W3CDTF">2024-07-21T06:34:00Z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דניאל סאלח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NOTES2">
    <vt:lpwstr>ProcID=133;209&amp;PartA=9580&amp;PartC=15</vt:lpwstr>
  </property>
  <property fmtid="{D5CDD505-2E9C-101B-9397-08002B2CF9AE}" pid="10" name="CASESLISTTMP1">
    <vt:lpwstr>29486731;25824863:3;28452933;28660017;29564821;28207045;28697227:2;27734980:2;27603872:2;27115374:2;22006503;27693610;26986954;27309272;25612982;26934681;26538254;27648787;26905927;7977312;30176735;25528733;25546727;28883087;28916087;27436592;26492590</vt:lpwstr>
  </property>
  <property fmtid="{D5CDD505-2E9C-101B-9397-08002B2CF9AE}" pid="11" name="CASESLISTTMP2">
    <vt:lpwstr>27933514;5906202;22301096;7674250</vt:lpwstr>
  </property>
  <property fmtid="{D5CDD505-2E9C-101B-9397-08002B2CF9AE}" pid="12" name="CITY">
    <vt:lpwstr>חי'</vt:lpwstr>
  </property>
  <property fmtid="{D5CDD505-2E9C-101B-9397-08002B2CF9AE}" pid="13" name="DATE">
    <vt:lpwstr>20240717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אמיר טובי</vt:lpwstr>
  </property>
  <property fmtid="{D5CDD505-2E9C-101B-9397-08002B2CF9AE}" pid="17" name="LAWLISTTMP1">
    <vt:lpwstr>70301/333;335.a.1;144.b;340a.b.1;340a.b.2;192;040i.a;144</vt:lpwstr>
  </property>
  <property fmtid="{D5CDD505-2E9C-101B-9397-08002B2CF9AE}" pid="18" name="LAWYER">
    <vt:lpwstr>אביה בן יאיר;רונן אביב 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32775</vt:lpwstr>
  </property>
  <property fmtid="{D5CDD505-2E9C-101B-9397-08002B2CF9AE}" pid="25" name="NEWPARTB">
    <vt:lpwstr>09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390020240717</vt:lpwstr>
  </property>
  <property fmtid="{D5CDD505-2E9C-101B-9397-08002B2CF9AE}" pid="37" name="TYPE_N_DATE">
    <vt:lpwstr>39020240717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