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vanish/>
                <w:sz w:val="6"/>
                <w:szCs w:val="6"/>
                <w:highlight w:val="yellow"/>
                <w:rtl w:val="true"/>
              </w:rPr>
              <w:t>&lt;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32779-07-10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טליעה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2011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עקאב טליעה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r>
        <w:rPr>
          <w:vanish/>
          <w:highlight w:val="yellow"/>
          <w:rtl w:val="true"/>
        </w:rPr>
        <w:t>&gt;</w:t>
      </w:r>
    </w:p>
    <w:p>
      <w:pPr>
        <w:pStyle w:val="12"/>
        <w:numPr>
          <w:ilvl w:val="0"/>
          <w:numId w:val="0"/>
        </w:numPr>
        <w:ind w:hanging="0" w:start="0" w:end="0"/>
        <w:jc w:val="start"/>
        <w:outlineLvl w:val="0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numPr>
          <w:ilvl w:val="0"/>
          <w:numId w:val="0"/>
        </w:numPr>
        <w:ind w:hanging="0" w:start="0" w:end="0"/>
        <w:jc w:val="start"/>
        <w:outlineLvl w:val="0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גדי צפריר</w:t>
      </w:r>
    </w:p>
    <w:p>
      <w:pPr>
        <w:pStyle w:val="12"/>
        <w:numPr>
          <w:ilvl w:val="0"/>
          <w:numId w:val="0"/>
        </w:numPr>
        <w:ind w:hanging="0" w:start="0" w:end="0"/>
        <w:jc w:val="start"/>
        <w:outlineLvl w:val="0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הובא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י 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מרואן מויס מהסנגוריה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Style11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לפניי</w:t>
      </w:r>
      <w:r>
        <w:rPr>
          <w:rtl w:val="true"/>
        </w:rPr>
        <w:t xml:space="preserve">, </w:t>
      </w:r>
      <w:r>
        <w:rPr>
          <w:rtl w:val="true"/>
        </w:rPr>
        <w:t>עאקב טליעה</w:t>
      </w:r>
      <w:r>
        <w:rPr>
          <w:rtl w:val="true"/>
        </w:rPr>
        <w:t xml:space="preserve">, </w:t>
      </w:r>
      <w:r>
        <w:rPr>
          <w:rtl w:val="true"/>
        </w:rPr>
        <w:t>הורשע לאחר ניהול הוכחות בעבירות של ביצוע שוד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ונשיאת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Style11"/>
        <w:ind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אשר פרטיו הובאו בהכרעת הדין מיום </w:t>
      </w:r>
      <w:r>
        <w:rPr/>
        <w:t>17.7.11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יחד עם אדם נוסף</w:t>
      </w:r>
      <w:r>
        <w:rPr>
          <w:rtl w:val="true"/>
        </w:rPr>
        <w:t xml:space="preserve">, </w:t>
      </w:r>
      <w:r>
        <w:rPr>
          <w:rtl w:val="true"/>
        </w:rPr>
        <w:t xml:space="preserve">שדד באיומי נשק </w:t>
      </w:r>
      <w:r>
        <w:rPr>
          <w:rtl w:val="true"/>
        </w:rPr>
        <w:t>(</w:t>
      </w:r>
      <w:r>
        <w:rPr>
          <w:rtl w:val="true"/>
        </w:rPr>
        <w:t xml:space="preserve">רובה מסוג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) </w:t>
      </w:r>
      <w:r>
        <w:rPr>
          <w:rtl w:val="true"/>
        </w:rPr>
        <w:t xml:space="preserve">את המתלונן שניר וייס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לאחר שהאחרון סיים את עבודתו ב</w:t>
      </w:r>
      <w:r>
        <w:rPr>
          <w:rtl w:val="true"/>
        </w:rPr>
        <w:t>"</w:t>
      </w:r>
      <w:r>
        <w:rPr>
          <w:rtl w:val="true"/>
        </w:rPr>
        <w:t>מזנון התבור</w:t>
      </w:r>
      <w:r>
        <w:rPr>
          <w:rtl w:val="true"/>
        </w:rPr>
        <w:t xml:space="preserve">" </w:t>
      </w:r>
      <w:r>
        <w:rPr>
          <w:rtl w:val="true"/>
        </w:rPr>
        <w:t xml:space="preserve">ונטל ממנו סכום של </w:t>
      </w:r>
      <w:r>
        <w:rPr/>
        <w:t>5,000</w:t>
      </w:r>
      <w:r>
        <w:rPr>
          <w:rtl w:val="true"/>
        </w:rPr>
        <w:t xml:space="preserve"> ₪.</w:t>
      </w:r>
    </w:p>
    <w:p>
      <w:pPr>
        <w:pStyle w:val="Style11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Style11"/>
        <w:numPr>
          <w:ilvl w:val="0"/>
          <w:numId w:val="0"/>
        </w:numPr>
        <w:ind w:hanging="0" w:start="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 לעונש</w:t>
      </w:r>
    </w:p>
    <w:p>
      <w:pPr>
        <w:pStyle w:val="Style11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המאשימה הפנה את בית המשפט לחומרת המעשים</w:t>
      </w:r>
      <w:r>
        <w:rPr>
          <w:rtl w:val="true"/>
        </w:rPr>
        <w:t xml:space="preserve">; </w:t>
      </w:r>
      <w:r>
        <w:rPr>
          <w:rtl w:val="true"/>
        </w:rPr>
        <w:t>לאימה והפחד שהטילו על המתלונן</w:t>
      </w:r>
      <w:r>
        <w:rPr>
          <w:rtl w:val="true"/>
        </w:rPr>
        <w:t xml:space="preserve">, </w:t>
      </w:r>
      <w:r>
        <w:rPr>
          <w:rtl w:val="true"/>
        </w:rPr>
        <w:t>אשר מצא עצמו בשעת לילה מאוחרת ניצב אל מול שני חמושים</w:t>
      </w:r>
      <w:r>
        <w:rPr>
          <w:rtl w:val="true"/>
        </w:rPr>
        <w:t xml:space="preserve">, </w:t>
      </w:r>
      <w:r>
        <w:rPr>
          <w:rtl w:val="true"/>
        </w:rPr>
        <w:t>האחד בסכין והשני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ברובה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עצם החזקת הנשק היא עבירה חמורה כשלעצמה הדורשת התייחסות בלתי מתפשרת אף במנותק מעבירת השוד</w:t>
      </w:r>
      <w:r>
        <w:rPr>
          <w:rtl w:val="true"/>
        </w:rPr>
        <w:t xml:space="preserve">. </w:t>
      </w:r>
      <w:r>
        <w:rPr>
          <w:rtl w:val="true"/>
        </w:rPr>
        <w:t>בהצטרפותן של העבירות לכדי מסכת עובדתית אחת נוצר סיכון גדול לפגיעה בגוף או בנפש</w:t>
      </w:r>
      <w:r>
        <w:rPr>
          <w:rtl w:val="true"/>
        </w:rPr>
        <w:t xml:space="preserve">, </w:t>
      </w:r>
      <w:r>
        <w:rPr>
          <w:rtl w:val="true"/>
        </w:rPr>
        <w:t>והתגובה הראויה ליצירת הסיכון היא ענישה מחמירה ומרתיעה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סבר בא כוח המאשימה כי אין בהן להביא להתחשבות בו</w:t>
      </w:r>
      <w:r>
        <w:rPr>
          <w:rtl w:val="true"/>
        </w:rPr>
        <w:t xml:space="preserve">, </w:t>
      </w:r>
      <w:r>
        <w:rPr>
          <w:rtl w:val="true"/>
        </w:rPr>
        <w:t xml:space="preserve">אלא להפך </w:t>
      </w:r>
      <w:r>
        <w:rPr>
          <w:rtl w:val="true"/>
        </w:rPr>
        <w:t xml:space="preserve">- </w:t>
      </w:r>
      <w:r>
        <w:rPr>
          <w:rtl w:val="true"/>
        </w:rPr>
        <w:t>נסיבותיו מלמדות כי יש להחמיר עמו</w:t>
      </w:r>
      <w:r>
        <w:rPr>
          <w:rtl w:val="true"/>
        </w:rPr>
        <w:t xml:space="preserve">, </w:t>
      </w:r>
      <w:r>
        <w:rPr>
          <w:rtl w:val="true"/>
        </w:rPr>
        <w:t>וזאת לאור עברו הפלילי המכביד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 ביקש בא</w:t>
      </w:r>
      <w:r>
        <w:rPr>
          <w:rtl w:val="true"/>
        </w:rPr>
        <w:t>-</w:t>
      </w:r>
      <w:r>
        <w:rPr>
          <w:rtl w:val="true"/>
        </w:rPr>
        <w:t>כוח המאשימה להטיל על הנאשם עונש מאסר לתקופה ארוכה</w:t>
      </w:r>
      <w:r>
        <w:rPr>
          <w:rtl w:val="true"/>
        </w:rPr>
        <w:t xml:space="preserve">, </w:t>
      </w:r>
      <w:r>
        <w:rPr>
          <w:rtl w:val="true"/>
        </w:rPr>
        <w:t>תוך הפעלת שני עונשי מאסר על תנאי שנגזרו עליו בתיקים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כל אחד</w:t>
      </w:r>
      <w:r>
        <w:rPr>
          <w:rtl w:val="true"/>
        </w:rPr>
        <w:t xml:space="preserve">, </w:t>
      </w:r>
      <w:r>
        <w:rPr>
          <w:rtl w:val="true"/>
        </w:rPr>
        <w:t>במצטבר לעונש שיוטל עליו במסגרת גזר הדין הנוכחי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להפעיל את ההתחייבות עליה חתם הנאשם</w:t>
      </w:r>
      <w:r>
        <w:rPr>
          <w:rtl w:val="true"/>
        </w:rPr>
        <w:t xml:space="preserve">; </w:t>
      </w:r>
      <w:r>
        <w:rPr>
          <w:rtl w:val="true"/>
        </w:rPr>
        <w:t>לחייבו בפיצוי המתלונן</w:t>
      </w:r>
      <w:r>
        <w:rPr>
          <w:rtl w:val="true"/>
        </w:rPr>
        <w:t xml:space="preserve">; </w:t>
      </w:r>
      <w:r>
        <w:rPr>
          <w:rtl w:val="true"/>
        </w:rPr>
        <w:t>ולהטיל עליו עונש של מאסר על תנאי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מבקש להיבנות מן עובדה ששותפיו של הנאשם לביצוע העבירות לא נתפסו בכדי לבסס את טענתו כי אין למצות את הדין עם הנאשם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: "</w:t>
      </w:r>
      <w:r>
        <w:rPr>
          <w:rtl w:val="true"/>
        </w:rPr>
        <w:t>בית המשפט אמור לשאול את עצמו האם אין כאן עיוות</w:t>
      </w:r>
      <w:r>
        <w:rPr>
          <w:rtl w:val="true"/>
        </w:rPr>
        <w:t xml:space="preserve">, </w:t>
      </w:r>
      <w:r>
        <w:rPr>
          <w:rtl w:val="true"/>
        </w:rPr>
        <w:t>מבחינת צדק מוחלט ומבחינת אינטרס הציבור שדורש הקלה בעונשו של הנאשם</w:t>
      </w:r>
      <w:r>
        <w:rPr>
          <w:rtl w:val="true"/>
        </w:rPr>
        <w:t xml:space="preserve">?". </w:t>
      </w:r>
      <w:r>
        <w:rPr>
          <w:rtl w:val="true"/>
        </w:rPr>
        <w:t>עוד ביקש הסנגור כי אמונתו של הנאשם בדבר חפותו לא תוביל להחמרה עמו</w:t>
      </w:r>
      <w:r>
        <w:rPr>
          <w:rtl w:val="true"/>
        </w:rPr>
        <w:t xml:space="preserve">, </w:t>
      </w:r>
      <w:r>
        <w:rPr>
          <w:rtl w:val="true"/>
        </w:rPr>
        <w:t>בהתייחס לבחירתו לנהל את משפטו עד תום ולאי הבעת חרטה על המעשים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 לנסיבות המקרה ציין כי המתלונן לא נפגע בסופו של דבר</w:t>
      </w:r>
      <w:r>
        <w:rPr>
          <w:rtl w:val="true"/>
        </w:rPr>
        <w:t xml:space="preserve">, </w:t>
      </w:r>
      <w:r>
        <w:rPr>
          <w:rtl w:val="true"/>
        </w:rPr>
        <w:t>ולא הזדקק לטיפול רפואי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לנאשם ולנסיבות חייו</w:t>
      </w:r>
      <w:r>
        <w:rPr>
          <w:rtl w:val="true"/>
        </w:rPr>
        <w:t xml:space="preserve">, </w:t>
      </w:r>
      <w:r>
        <w:rPr>
          <w:rtl w:val="true"/>
        </w:rPr>
        <w:t xml:space="preserve">הסנגור פירט כי הנאשם קבל בעבר טיפול כימותרפי וקרינתי עקב סרטן מתקדם מקומי בלוע האף </w:t>
      </w:r>
      <w:r>
        <w:rPr>
          <w:rtl w:val="true"/>
        </w:rPr>
        <w:t>(</w:t>
      </w:r>
      <w:r>
        <w:rPr>
          <w:rtl w:val="true"/>
        </w:rPr>
        <w:t>נזופרינקס</w:t>
      </w:r>
      <w:r>
        <w:rPr>
          <w:rtl w:val="true"/>
        </w:rPr>
        <w:t xml:space="preserve">). </w:t>
      </w:r>
      <w:r>
        <w:rPr>
          <w:rtl w:val="true"/>
        </w:rPr>
        <w:t>לא הוצג תיעוד המתייחס לתאריכים בהם הנאשם טופל ואין כל התייחסות לשאלת מצבו הרפואי הנוכחי</w:t>
      </w:r>
      <w:r>
        <w:rPr>
          <w:rtl w:val="true"/>
        </w:rPr>
        <w:t xml:space="preserve">. </w:t>
      </w:r>
      <w:r>
        <w:rPr>
          <w:rtl w:val="true"/>
        </w:rPr>
        <w:t xml:space="preserve">במכתב מיום </w:t>
      </w:r>
      <w:r>
        <w:rPr/>
        <w:t>1.9.11</w:t>
      </w:r>
      <w:r>
        <w:rPr>
          <w:rtl w:val="true"/>
        </w:rPr>
        <w:t xml:space="preserve"> </w:t>
      </w:r>
      <w:r>
        <w:rPr>
          <w:rtl w:val="true"/>
        </w:rPr>
        <w:t>כתב ד</w:t>
      </w:r>
      <w:r>
        <w:rPr>
          <w:rtl w:val="true"/>
        </w:rPr>
        <w:t>"</w:t>
      </w:r>
      <w:r>
        <w:rPr>
          <w:rtl w:val="true"/>
        </w:rPr>
        <w:t>ר בלאן סאלם מבית החולים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החולה תקופה ארוכה לא במעקב</w:t>
      </w:r>
      <w:r>
        <w:rPr>
          <w:rtl w:val="true"/>
        </w:rPr>
        <w:t xml:space="preserve">". </w:t>
      </w:r>
      <w:r>
        <w:rPr>
          <w:rtl w:val="true"/>
        </w:rPr>
        <w:t>הסנגור טען כי המעקב הרפואי הופסק בשל מעצרו של הנאשם</w:t>
      </w:r>
      <w:r>
        <w:rPr>
          <w:rtl w:val="true"/>
        </w:rPr>
        <w:t xml:space="preserve">, </w:t>
      </w:r>
      <w:r>
        <w:rPr>
          <w:rtl w:val="true"/>
        </w:rPr>
        <w:t>אולם לא הביא כל ראיה שיש בה לתמוך בטענה זו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 ביקש הסנגור להטיל על הנאשם עונש אשר לא יעלה</w:t>
      </w:r>
      <w:r>
        <w:rPr>
          <w:rtl w:val="true"/>
        </w:rPr>
        <w:t xml:space="preserve">, </w:t>
      </w:r>
      <w:r>
        <w:rPr>
          <w:rtl w:val="true"/>
        </w:rPr>
        <w:t>במצטבר עם הפעלת עונשי התנאי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</w:r>
    </w:p>
    <w:p>
      <w:pPr>
        <w:pStyle w:val="Style11"/>
        <w:numPr>
          <w:ilvl w:val="0"/>
          <w:numId w:val="0"/>
        </w:numPr>
        <w:ind w:hanging="0" w:start="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Style11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העבירות בהן הורשע הנאשם הן חמורות ובעלות פוטנציאל ממשי לפגיעה בחיי אדם</w:t>
      </w:r>
      <w:r>
        <w:rPr>
          <w:rtl w:val="true"/>
        </w:rPr>
        <w:t xml:space="preserve">. </w:t>
      </w:r>
      <w:r>
        <w:rPr>
          <w:rtl w:val="true"/>
        </w:rPr>
        <w:t>ביצוע שוד מזוין כמוהו כאיום לרצוח</w:t>
      </w:r>
      <w:r>
        <w:rPr>
          <w:rtl w:val="true"/>
        </w:rPr>
        <w:t xml:space="preserve">, </w:t>
      </w:r>
      <w:r>
        <w:rPr>
          <w:rtl w:val="true"/>
        </w:rPr>
        <w:t>כאשר אין לדעת מה היה קורה אילו בחר המתלונן להביע התנגדות או לברוח מפני הנאשם ושותפו לפשע</w:t>
      </w:r>
      <w:r>
        <w:rPr>
          <w:rtl w:val="true"/>
        </w:rPr>
        <w:t xml:space="preserve">. </w:t>
      </w:r>
      <w:r>
        <w:rPr>
          <w:rtl w:val="true"/>
        </w:rPr>
        <w:t>נטילת הנשק לשם שוד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יש בה כדי להעיד על יחסו הנפשי של הנאשם כלפי האפשרות של פגיעה בגופו או חייו של הנשדד</w:t>
      </w:r>
      <w:r>
        <w:rPr>
          <w:rtl w:val="true"/>
        </w:rPr>
        <w:t xml:space="preserve">, </w:t>
      </w:r>
      <w:r>
        <w:rPr>
          <w:rtl w:val="true"/>
        </w:rPr>
        <w:t xml:space="preserve">ומכאן שאין להתייחס אל האירוע כמקרה של שוד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בעת קביעת העונש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לבד מחומרת העבירות</w:t>
      </w:r>
      <w:r>
        <w:rPr>
          <w:rtl w:val="true"/>
        </w:rPr>
        <w:t xml:space="preserve">, </w:t>
      </w:r>
      <w:r>
        <w:rPr>
          <w:rtl w:val="true"/>
        </w:rPr>
        <w:t>עיון בגיליון הרישום הפלילי ובגזרי הדין הקודמים שניתנו עקב הרשעותיו בעבר מלמד כי אין מקום לנקוט בגישה מקלה ולהפעיל את מידת הרחמים כלפיו</w:t>
      </w:r>
      <w:r>
        <w:rPr>
          <w:rtl w:val="true"/>
        </w:rPr>
        <w:t xml:space="preserve">, </w:t>
      </w:r>
      <w:r>
        <w:rPr>
          <w:rtl w:val="true"/>
        </w:rPr>
        <w:t>כפי שמבקש הסנגור</w:t>
      </w:r>
      <w:r>
        <w:rPr>
          <w:rtl w:val="true"/>
        </w:rPr>
        <w:t xml:space="preserve">. </w:t>
      </w:r>
      <w:r>
        <w:rPr>
          <w:rtl w:val="true"/>
        </w:rPr>
        <w:t>נאשם זה אימץ לעצמו אורח חיים עברייני וההזדמנויות שניתנו לו בעבר על מנת לשקם את חייו לא נוצלו על ידו</w:t>
      </w:r>
      <w:r>
        <w:rPr>
          <w:rtl w:val="true"/>
        </w:rPr>
        <w:t xml:space="preserve">. </w:t>
      </w:r>
      <w:r>
        <w:rPr>
          <w:rtl w:val="true"/>
        </w:rPr>
        <w:t xml:space="preserve">הנאשם הורשע 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בביצוע שני מעשי התפרצות וגניבה</w:t>
      </w:r>
      <w:r>
        <w:rPr>
          <w:rtl w:val="true"/>
        </w:rPr>
        <w:t xml:space="preserve">, </w:t>
      </w:r>
      <w:r>
        <w:rPr>
          <w:rtl w:val="true"/>
        </w:rPr>
        <w:t xml:space="preserve">ובשנת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בעבירות של איומים ושיבוש הליכי משפט לאחר שפרסם למכירה אופנוע גנוב</w:t>
      </w:r>
      <w:r>
        <w:rPr>
          <w:rtl w:val="true"/>
        </w:rPr>
        <w:t xml:space="preserve">. </w:t>
      </w:r>
      <w:r>
        <w:rPr>
          <w:rtl w:val="true"/>
        </w:rPr>
        <w:t xml:space="preserve">בשני המקרים לא מוצה הדין עם הנאשם והוטלו עליו עונשים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הגישה הסלחנית כלפיו התגלתה</w:t>
      </w:r>
      <w:r>
        <w:rPr>
          <w:rtl w:val="true"/>
        </w:rPr>
        <w:t xml:space="preserve">, </w:t>
      </w: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כלא אפקטיבית</w:t>
      </w:r>
      <w:r>
        <w:rPr>
          <w:rtl w:val="true"/>
        </w:rPr>
        <w:t xml:space="preserve">, </w:t>
      </w:r>
      <w:r>
        <w:rPr>
          <w:rtl w:val="true"/>
        </w:rPr>
        <w:t>כאשר מיד עם שחרורו מן הכלא שב הנאשם לסורו וביצע את השוד שבגינו הורשע בתיק זה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עוד נתתי דעתי לעובדה כי אין כל אינדיקציה להבעת חרטה על המעשים</w:t>
      </w:r>
      <w:r>
        <w:rPr>
          <w:rtl w:val="true"/>
        </w:rPr>
        <w:t xml:space="preserve">, </w:t>
      </w:r>
      <w:r>
        <w:rPr>
          <w:rtl w:val="true"/>
        </w:rPr>
        <w:t>כשלמעשה הנאשם עדיין מחזיק בגרסתו כי הוא חף מפשע</w:t>
      </w:r>
      <w:r>
        <w:rPr>
          <w:rtl w:val="true"/>
        </w:rPr>
        <w:t xml:space="preserve">. </w:t>
      </w:r>
      <w:r>
        <w:rPr>
          <w:rtl w:val="true"/>
        </w:rPr>
        <w:t>טענת הסנגור לפיה אין לראות באי הבעת החרטה כשיקול להחמרה</w:t>
      </w:r>
      <w:r>
        <w:rPr>
          <w:rtl w:val="true"/>
        </w:rPr>
        <w:t xml:space="preserve">, </w:t>
      </w:r>
      <w:r>
        <w:rPr>
          <w:rtl w:val="true"/>
        </w:rPr>
        <w:t>אף כי ניתן תיאורטית לקבלה</w:t>
      </w:r>
      <w:r>
        <w:rPr>
          <w:rtl w:val="true"/>
        </w:rPr>
        <w:t xml:space="preserve">, </w:t>
      </w:r>
      <w:r>
        <w:rPr>
          <w:rtl w:val="true"/>
        </w:rPr>
        <w:t>אין משמעותה כי דינו של הנאשם ייחרץ באופן דומה לדינו של נאשם שהודה והתחרט</w:t>
      </w:r>
      <w:r>
        <w:rPr>
          <w:rtl w:val="true"/>
        </w:rPr>
        <w:t xml:space="preserve">. </w:t>
      </w:r>
      <w:r>
        <w:rPr>
          <w:rtl w:val="true"/>
        </w:rPr>
        <w:t>דינו של הנאשם במצב שכזה ייגזר מתוך מידת הדין ולא מתוך מידת הרחמים</w:t>
      </w:r>
      <w:r>
        <w:rPr>
          <w:rtl w:val="true"/>
        </w:rPr>
        <w:t xml:space="preserve">, </w:t>
      </w:r>
      <w:r>
        <w:rPr>
          <w:rtl w:val="true"/>
        </w:rPr>
        <w:t>ובודאי כאשר יתר הנסיבות</w:t>
      </w:r>
      <w:r>
        <w:rPr>
          <w:rtl w:val="true"/>
        </w:rPr>
        <w:t xml:space="preserve">, </w:t>
      </w:r>
      <w:r>
        <w:rPr>
          <w:rtl w:val="true"/>
        </w:rPr>
        <w:t>ובראשן עברו של הנאשם ונסיבות ביצוע העבירה דנן</w:t>
      </w:r>
      <w:r>
        <w:rPr>
          <w:rtl w:val="true"/>
        </w:rPr>
        <w:t xml:space="preserve">, </w:t>
      </w:r>
      <w:r>
        <w:rPr>
          <w:rtl w:val="true"/>
        </w:rPr>
        <w:t>מלמדות כולן כי אין עוד מקום להקל עם הנאשם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 לטענות בדבר מצבו הרפואי של הנאשם</w:t>
      </w:r>
      <w:r>
        <w:rPr>
          <w:rtl w:val="true"/>
        </w:rPr>
        <w:t xml:space="preserve">, </w:t>
      </w:r>
      <w:r>
        <w:rPr>
          <w:rtl w:val="true"/>
        </w:rPr>
        <w:t>אעיר בקצרה כי לא הובאו אסמכתאות מהימנות שיש בהן ללמד על מצב בריאותו בהווה</w:t>
      </w:r>
      <w:r>
        <w:rPr>
          <w:rtl w:val="true"/>
        </w:rPr>
        <w:t xml:space="preserve">, </w:t>
      </w:r>
      <w:r>
        <w:rPr>
          <w:rtl w:val="true"/>
        </w:rPr>
        <w:t>וכי ההתחשבות במצב בריאותו עד כה</w:t>
      </w:r>
      <w:r>
        <w:rPr>
          <w:rtl w:val="true"/>
        </w:rPr>
        <w:t xml:space="preserve">, </w:t>
      </w:r>
      <w:r>
        <w:rPr>
          <w:rtl w:val="true"/>
        </w:rPr>
        <w:t>במסגרת הליכים קודמים</w:t>
      </w:r>
      <w:r>
        <w:rPr>
          <w:rtl w:val="true"/>
        </w:rPr>
        <w:t xml:space="preserve">, </w:t>
      </w:r>
      <w:r>
        <w:rPr>
          <w:rtl w:val="true"/>
        </w:rPr>
        <w:t>לא הובילה לתוצאות המיוחלות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בשל ריבוי עבירות השוד והסיכון הממשי לחיי אדם ולרכוש ופגיעה בביטחונם האישי של האזרחים החפים מפשע</w:t>
      </w:r>
      <w:r>
        <w:rPr>
          <w:rtl w:val="true"/>
        </w:rPr>
        <w:t xml:space="preserve">, </w:t>
      </w:r>
      <w:r>
        <w:rPr>
          <w:rtl w:val="true"/>
        </w:rPr>
        <w:t>אין לקבל כל טענה לעונש מקל</w:t>
      </w:r>
      <w:r>
        <w:rPr>
          <w:rtl w:val="true"/>
        </w:rPr>
        <w:t xml:space="preserve">, </w:t>
      </w:r>
      <w:r>
        <w:rPr>
          <w:rtl w:val="true"/>
        </w:rPr>
        <w:t xml:space="preserve">נהפוך הוא </w:t>
      </w:r>
      <w:r>
        <w:rPr>
          <w:rtl w:val="true"/>
        </w:rPr>
        <w:t xml:space="preserve">- </w:t>
      </w:r>
      <w:r>
        <w:rPr>
          <w:rtl w:val="true"/>
        </w:rPr>
        <w:t>יש במקרה זה לנקוט ענישה מכבידה וכואבת כדי להרתיע את הנאשם ואחרים כדוגמתו</w:t>
      </w:r>
      <w:r>
        <w:rPr>
          <w:rtl w:val="true"/>
        </w:rPr>
        <w:t xml:space="preserve">, </w:t>
      </w:r>
      <w:r>
        <w:rPr>
          <w:rtl w:val="true"/>
        </w:rPr>
        <w:t>על מנת שיראו ויראו</w:t>
      </w:r>
      <w:r>
        <w:rPr>
          <w:rtl w:val="true"/>
        </w:rPr>
        <w:t>.</w:t>
      </w:r>
    </w:p>
    <w:p>
      <w:pPr>
        <w:pStyle w:val="Style11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Style11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למאסר 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מתוכם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שנים לריצוי בפועל בניכוי ימי מעצרו ואילו 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והתנאי שהנאשם לא יעבור ויורשע בפרק זמן זה על כל אחת מהעבירות בהן הורשע בכתב אישום זה</w:t>
      </w:r>
      <w:r>
        <w:rPr>
          <w:rtl w:val="true"/>
        </w:rPr>
        <w:t xml:space="preserve">.  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 מורה על הפעלת עונשי המאסר על תנאי שנגזרו על הנאשם ב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15461-10-09</w:t>
        </w:r>
      </w:hyperlink>
      <w:r>
        <w:rPr>
          <w:rtl w:val="true"/>
        </w:rPr>
        <w:t xml:space="preserve"> (</w:t>
      </w:r>
      <w:r>
        <w:rPr>
          <w:rtl w:val="true"/>
        </w:rPr>
        <w:t>שלום נצרת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 xml:space="preserve">דין מיום </w:t>
      </w:r>
      <w:r>
        <w:rPr/>
        <w:t>2.11.09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hyperlink r:id="rId9">
        <w:r>
          <w:rPr>
            <w:rStyle w:val="Hyperlink"/>
            <w:color w:val="0000FF"/>
            <w:u w:val="single"/>
          </w:rPr>
          <w:t>2274/06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(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 xml:space="preserve">דין מיום </w:t>
      </w:r>
      <w:r>
        <w:rPr/>
        <w:t>16.10.07</w:t>
      </w:r>
      <w:r>
        <w:rPr>
          <w:rtl w:val="true"/>
        </w:rPr>
        <w:t xml:space="preserve">), </w:t>
      </w:r>
      <w:r>
        <w:rPr>
          <w:rtl w:val="true"/>
        </w:rPr>
        <w:t>וזאת במצטבר לעונש המאסר בפועל שנגזר בתיק זה</w:t>
      </w:r>
      <w:r>
        <w:rPr>
          <w:rtl w:val="true"/>
        </w:rPr>
        <w:t xml:space="preserve">, </w:t>
      </w:r>
      <w:r>
        <w:rPr>
          <w:rtl w:val="true"/>
        </w:rPr>
        <w:t xml:space="preserve">לתקופת מאסר נוספת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בגין כל אחד מן התיקים</w:t>
      </w:r>
      <w:r>
        <w:rPr>
          <w:rtl w:val="true"/>
        </w:rPr>
        <w:t>).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בסך הכל ירצה הנאשם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ימי מעצרו</w:t>
      </w:r>
      <w:r>
        <w:rPr>
          <w:rtl w:val="true"/>
        </w:rPr>
        <w:t xml:space="preserve">. 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 מורה על הפעלת ההתחייבויות הכספיות שהוטלו על הנאשם במסגרת שני התיקים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בסכום כולל של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 מאסר תמורתם</w:t>
      </w:r>
      <w:r>
        <w:rPr>
          <w:rtl w:val="true"/>
        </w:rPr>
        <w:t>.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אני מחייב את הנאשם לפצות את המתלונן בסכום של </w:t>
      </w:r>
      <w:r>
        <w:rPr/>
        <w:t>10,000</w:t>
      </w:r>
      <w:r>
        <w:rPr>
          <w:rtl w:val="true"/>
        </w:rPr>
        <w:t xml:space="preserve"> ₪.</w:t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</w:r>
    </w:p>
    <w:p>
      <w:pPr>
        <w:pStyle w:val="Style11"/>
        <w:ind w:hanging="720" w:start="216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כספי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 וזאת במצטבר לכל מאסר אחר שהנאשם מרצה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1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אני מפנה את תשומת ליבם של הגורמים הרלוונטיים בשירות בתי הסוהר לעברו הרפואי של הנאשם</w:t>
      </w:r>
      <w:r>
        <w:rPr>
          <w:rtl w:val="true"/>
        </w:rPr>
        <w:t xml:space="preserve">, </w:t>
      </w:r>
      <w:r>
        <w:rPr>
          <w:rtl w:val="true"/>
        </w:rPr>
        <w:t>לצורך קליטתו המתאימה ולשם עריכת הבדיקות הדרושות לבירור מצבו הבריאותי בהווה</w:t>
      </w:r>
      <w:r>
        <w:rPr>
          <w:rtl w:val="true"/>
        </w:rPr>
        <w:t xml:space="preserve">. </w:t>
      </w:r>
      <w:r>
        <w:rPr>
          <w:rtl w:val="true"/>
        </w:rPr>
        <w:t>יוער כי אין בהפניה זו כדי לשנות דבר 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0"/>
        </w:numPr>
        <w:ind w:hanging="0" w:start="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rFonts w:eastAsia="Times New Roman" w:cs="Times New Roman" w:ascii="Times New Roman" w:hAnsi="Times New Roman"/>
          <w:vanish/>
          <w:highlight w:val="yellow"/>
          <w:rtl w:val="true"/>
        </w:rPr>
        <w:t>&lt;</w:t>
      </w:r>
    </w:p>
    <w:p>
      <w:pPr>
        <w:pStyle w:val="David"/>
        <w:ind w:end="0"/>
        <w:jc w:val="center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David"/>
        <w:ind w:end="0"/>
        <w:jc w:val="center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David"/>
        <w:keepNext w:val="true"/>
        <w:ind w:end="0"/>
        <w:jc w:val="start"/>
        <w:rPr>
          <w:rFonts w:ascii="David" w:hAnsi="David" w:eastAsia="David" w:cs="David"/>
          <w:b/>
          <w:bCs/>
          <w:color w:val="000000"/>
          <w:sz w:val="22"/>
          <w:szCs w:val="22"/>
        </w:rPr>
      </w:pP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David"/>
        <w:keepNext w:val="true"/>
        <w:ind w:end="0"/>
        <w:jc w:val="start"/>
        <w:rPr>
          <w:rFonts w:ascii="David" w:hAnsi="David" w:eastAsia="David" w:cs="David"/>
          <w:color w:val="000000"/>
          <w:sz w:val="22"/>
          <w:szCs w:val="22"/>
        </w:rPr>
      </w:pPr>
      <w:r>
        <w:rPr>
          <w:rFonts w:ascii="David" w:hAnsi="David" w:eastAsia="David" w:cs="David"/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rFonts w:eastAsia="David" w:cs="David" w:ascii="David" w:hAnsi="David"/>
          <w:color w:val="000000"/>
          <w:sz w:val="22"/>
          <w:szCs w:val="22"/>
        </w:rPr>
        <w:t>54678313</w:t>
      </w:r>
    </w:p>
    <w:p>
      <w:pPr>
        <w:pStyle w:val="David"/>
        <w:ind w:end="0"/>
        <w:jc w:val="center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 w:cs="David"/>
          <w:b/>
          <w:b/>
          <w:bCs/>
          <w:rtl w:val="true"/>
        </w:rPr>
        <w:t>ניתנה והודעה היום י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 w:cs="David"/>
          <w:b/>
          <w:b/>
          <w:bCs/>
          <w:rtl w:val="true"/>
        </w:rPr>
        <w:t>ב תשרי תשע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 w:cs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eastAsia="David" w:cs="David" w:ascii="David" w:hAnsi="David"/>
          <w:b/>
          <w:bCs/>
        </w:rPr>
        <w:t>10/10/2011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 w:cs="David"/>
          <w:b/>
          <w:b/>
          <w:bCs/>
          <w:rtl w:val="true"/>
        </w:rPr>
        <w:t>במעמד הנוכחים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tl w:val="true"/>
              </w:rPr>
              <w:drawing>
                <wp:inline distT="0" distB="0" distL="0" distR="0">
                  <wp:extent cx="914400" cy="95186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כתילי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David"/>
        <w:ind w:end="0"/>
        <w:jc w:val="center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יבגניה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דורין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מלמוד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00"/>
          <w:sz w:val="28"/>
          <w:sz w:val="28"/>
          <w:rtl w:val="true"/>
        </w:rPr>
        <w:t>בעניין עריכה ושינויים במסמכי 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32779-07-10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עקאב טליעה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2779-07-10"/>
    <w:docVar w:name="caseId" w:val="68853528"/>
    <w:docVar w:name="deriveClass" w:val="NGCS.Protocol.BL.Client.ProtocolBLClientCriminal"/>
    <w:docVar w:name="firstPageNumber" w:val="157"/>
    <w:docVar w:name="MyInfo" w:val="This document was extracted from Nevo's site"/>
    <w:docVar w:name="NGCS.caseInterestID" w:val="-1"/>
    <w:docVar w:name="NGCS.caseTypeID" w:val="10048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20443537@GOV.IL"/>
    <w:docVar w:name="privellegeId" w:val="1"/>
    <w:docVar w:name="protocolId" w:val="2280955"/>
    <w:docVar w:name="releaseSign" w:val="0"/>
    <w:docVar w:name="sittingDateTime" w:val="10/10/2011 11:00     "/>
    <w:docVar w:name="sittingId" w:val="7234810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1">
    <w:name w:val="פזית"/>
    <w:basedOn w:val="Normal"/>
    <w:qFormat/>
    <w:pPr>
      <w:spacing w:lineRule="auto" w:line="36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2.b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case/4440079" TargetMode="External"/><Relationship Id="rId9" Type="http://schemas.openxmlformats.org/officeDocument/2006/relationships/hyperlink" Target="http://www.nevo.co.il/case/2288284" TargetMode="External"/><Relationship Id="rId10" Type="http://schemas.openxmlformats.org/officeDocument/2006/relationships/image" Target="media/image1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2016-04-26T12:45:00Z</dcterms:created>
  <dc:creator> </dc:creator>
  <dc:description/>
  <cp:keywords/>
  <dc:language>en-IL</dc:language>
  <cp:lastModifiedBy>run</cp:lastModifiedBy>
  <cp:lastPrinted>2011-10-10T11:11:00Z</cp:lastPrinted>
  <dcterms:modified xsi:type="dcterms:W3CDTF">2016-04-26T12:45:00Z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עקאב טליעה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4440079;2288284</vt:lpwstr>
  </property>
  <property fmtid="{D5CDD505-2E9C-101B-9397-08002B2CF9AE}" pid="9" name="CITY">
    <vt:lpwstr>נצ'</vt:lpwstr>
  </property>
  <property fmtid="{D5CDD505-2E9C-101B-9397-08002B2CF9AE}" pid="10" name="DATE">
    <vt:lpwstr>20111010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70301/402.b;144.b</vt:lpwstr>
  </property>
  <property fmtid="{D5CDD505-2E9C-101B-9397-08002B2CF9AE}" pid="15" name="LAWYER">
    <vt:lpwstr>מרואן מויס;גדי צפריר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32779</vt:lpwstr>
  </property>
  <property fmtid="{D5CDD505-2E9C-101B-9397-08002B2CF9AE}" pid="22" name="NEWPARTB">
    <vt:lpwstr>07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390020111010</vt:lpwstr>
  </property>
  <property fmtid="{D5CDD505-2E9C-101B-9397-08002B2CF9AE}" pid="34" name="TYPE_N_DATE">
    <vt:lpwstr>39020111010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