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32787-10-18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סלמאן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22.3.21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אוריה תוהמי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מוחמד סלמאן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עלא תילאווי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bookmarkStart w:id="10" w:name="ABSTRACT_START"/>
      <w:bookmarkEnd w:id="10"/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 xml:space="preserve">עבירות </w:t>
      </w:r>
      <w:r>
        <w:rPr>
          <w:rFonts w:ascii="David" w:hAnsi="David"/>
          <w:b/>
          <w:b/>
          <w:bCs/>
          <w:rtl w:val="true"/>
        </w:rPr>
        <w:t xml:space="preserve">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החזקת נשק ואבזר לנשק</w:t>
      </w:r>
      <w:r>
        <w:rPr>
          <w:rFonts w:cs="David" w:ascii="David" w:hAnsi="David"/>
          <w:b/>
          <w:bCs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בניגוד </w:t>
      </w:r>
      <w:hyperlink r:id="rId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1.10.18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02:18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לחירבת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בארה במזרח טייבה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לביתו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ה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>אחיו 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הקטין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ברכבו של אברהים מסארווה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והקטין יצאו מהרכב וכעבור זמן קצר חזרו אל הרכב כשהם מצוידים בשני כלי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ותחמושת תואמת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12.1.20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הגיעו הצדדים להסדר טיעון לפיו </w:t>
      </w:r>
      <w:r>
        <w:rPr>
          <w:rFonts w:ascii="David" w:hAnsi="David"/>
          <w:rtl w:val="true"/>
        </w:rPr>
        <w:t>הנאשם יודה במיוחס לו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יורשע ויישלח לשירות המבחן לצורך קבלת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הוסכם כי המאשימה תעתור על פי הנחיית פרקליט המדינה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למתחם עונש הולם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תבקש למקם את </w:t>
      </w:r>
      <w:r>
        <w:rPr>
          <w:rFonts w:ascii="David" w:hAnsi="David"/>
          <w:rtl w:val="true"/>
        </w:rPr>
        <w:t xml:space="preserve">עונשו של </w:t>
      </w:r>
      <w:r>
        <w:rPr>
          <w:rFonts w:ascii="David" w:hAnsi="David"/>
          <w:rtl w:val="true"/>
        </w:rPr>
        <w:t>הנאשם בתחתית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יוכל לטעון לעונש באופן פתוח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מתסקיר שירות המבחן מיום </w:t>
      </w:r>
      <w:r>
        <w:rPr>
          <w:rFonts w:cs="David" w:ascii="David" w:hAnsi="David"/>
        </w:rPr>
        <w:t>13.8.20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כי הנאשם כבן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טייבה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שוהה בתנאי מעצר בית מלא בבית אביו מאוקטובר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 אחת מאחיותיו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מאורס מזה כשנתיים וחצי לבחורה כבת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תאר כי היה תלמיד בעייתי ואלים במסגרת בית הספר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ועזב לבסוף מחוסר עניין בלימודים ובמטרה לעבוד ולסייע בכלכלת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עבד ברציפות בעבודות איטום מאז ועד למעצרו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מגיל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לשתות אלכוהול באופן מזדמן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מאז שהייתו בתנאים מגבילים ועד היום מעשן גראס על בסיס יומי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שלל בעיית התמכרות לחומרים פסיכואקטיביים או נזקקות טיפולית בתחום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מתוך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בדיקות שתן מסר הנאשם רק בדיקה אחת בה נמצאו שרידי גראס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ומכיוון שמשתמש בסמים לא מסר בדיקות נוספות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בהתייחסותו לעבירה דנן מודה בביצועה ולוקח עליה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מתקשה להסביר את הרקע לביצועה והתייחס אליה באופן מגמתי ומצומצם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 קשרים חברתיים שוליים ושלל התנהלות בעייתית במצבו בכלל ובתחום הנשק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 כי הנאשם מתקשה לבחון לעומק את התנהגותו ואת נסיבות העבירה ונקט בתשובות מצומצמות והסתרה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השירות התרשם כי הנאשם אינו מכיר בחומרת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רמת הסיכון למעורבותו בעבירות אלימות הינה </w:t>
      </w:r>
      <w:r>
        <w:rPr>
          <w:rFonts w:ascii="David" w:hAnsi="David"/>
          <w:b/>
          <w:b/>
          <w:bCs/>
          <w:rtl w:val="true"/>
        </w:rPr>
        <w:t xml:space="preserve">בינונית </w:t>
      </w:r>
      <w:r>
        <w:rPr>
          <w:rFonts w:ascii="David" w:hAnsi="David"/>
          <w:rtl w:val="true"/>
        </w:rPr>
        <w:t xml:space="preserve">ברמת חומרה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השירות העריך כי ללא מעורבות טיפולית במצבו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להישנות התנהגותו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גורמי הסיכון בעניינו נמנו נגישותו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 פלילית 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דמות הורית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בסמים והתמודדות עם אחריות משפחתית שאינה מתאימה ליכולותיו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גורמי הסיכוי לשיקום במצבו נמנו 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יכולתו לעמוד בתנאי מעצר בית ללא הפרות במשך תקופה ממושכת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ציין כי הוא </w:t>
      </w:r>
      <w:r>
        <w:rPr>
          <w:rFonts w:ascii="David" w:hAnsi="David"/>
          <w:b/>
          <w:b/>
          <w:bCs/>
          <w:rtl w:val="true"/>
        </w:rPr>
        <w:t>אמביוולנטי</w:t>
      </w:r>
      <w:r>
        <w:rPr>
          <w:rFonts w:ascii="David" w:hAnsi="David"/>
          <w:rtl w:val="true"/>
        </w:rPr>
        <w:t xml:space="preserve"> באשר להמלצה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שבולטת נזקקות טיפולית על מנת לצמצם סיכון להישנות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שחומרת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גורמי תמיכה משמעותיים בסביבתו והיעדר כוחות להביא לשינוי במצבו ולהפסיק בין היתר 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</w:t>
      </w:r>
      <w:r>
        <w:rPr>
          <w:rFonts w:ascii="David" w:hAnsi="David"/>
          <w:b/>
          <w:b/>
          <w:bCs/>
          <w:rtl w:val="true"/>
        </w:rPr>
        <w:t>ספק</w:t>
      </w:r>
      <w:r>
        <w:rPr>
          <w:rFonts w:ascii="David" w:hAnsi="David"/>
          <w:rtl w:val="true"/>
        </w:rPr>
        <w:t xml:space="preserve"> באשר ליכולתו לשתף פעולה עם השירות ועל כן השירות נמנע מהמלצה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השירות המליץ לשקול בין שיקולי הענישה את גילו העציר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עבר פלילי והיעדר תיקי 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שהתנהגותו לא שנתה מזה כשנתיים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-(</w:t>
      </w:r>
      <w:hyperlink r:id="rId11">
        <w:r>
          <w:rPr>
            <w:rStyle w:val="Hyperlink"/>
          </w:rPr>
          <w:t>2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 </w:t>
      </w:r>
      <w:r>
        <w:rPr>
          <w:rtl w:val="true"/>
        </w:rPr>
        <w:t>ומזכר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מתגלגל</w:t>
      </w:r>
      <w:r>
        <w:rPr>
          <w:rtl w:val="true"/>
        </w:rPr>
        <w:t xml:space="preserve">"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נלקחו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מסארווה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וכלשונה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ברגיל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המעורבים האמורים אמנם נתפסו ברכב שבו נמצא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ושמחלקו הקדמי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ישבו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נזרק נשק החוצה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מדובר בשהייה של 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בתרגיל חקירה שנערך להם ציינו שהנשק שייך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חנון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כינויו של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ולאורך כל החקירות שלהם </w:t>
      </w:r>
      <w:r>
        <w:rPr>
          <w:rFonts w:ascii="David" w:hAnsi="David"/>
          <w:rtl w:val="true"/>
        </w:rPr>
        <w:t xml:space="preserve">דבקו </w:t>
      </w:r>
      <w:r>
        <w:rPr>
          <w:rFonts w:ascii="David" w:hAnsi="David"/>
          <w:rtl w:val="true"/>
        </w:rPr>
        <w:t>בגרסתם ו</w:t>
      </w:r>
      <w:r>
        <w:rPr>
          <w:rFonts w:ascii="David" w:hAnsi="David"/>
          <w:rtl w:val="true"/>
        </w:rPr>
        <w:t>הפלילו את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אין יכולת לדעת אם היו מודעים לנשק שנזרק</w:t>
      </w:r>
      <w:r>
        <w:rPr>
          <w:rFonts w:ascii="David" w:hAnsi="David"/>
          <w:rtl w:val="true"/>
        </w:rPr>
        <w:t xml:space="preserve"> אם לאו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המדווח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 xml:space="preserve">;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כשהנכס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ואיברהים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 </w:t>
      </w:r>
      <w:r>
        <w:rPr>
          <w:rtl w:val="true"/>
        </w:rPr>
        <w:t>ואיאד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tl w:val="true"/>
        </w:rPr>
        <w:t xml:space="preserve">,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לעזאזל</w:t>
      </w:r>
      <w:r>
        <w:rPr>
          <w:rtl w:val="true"/>
        </w:rPr>
        <w:t xml:space="preserve">",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9.10.18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21.10.18</w:t>
      </w:r>
      <w:r>
        <w:rPr>
          <w:rtl w:val="true"/>
        </w:rPr>
        <w:t xml:space="preserve">)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זועקת</w:t>
      </w:r>
      <w:r>
        <w:rPr>
          <w:rtl w:val="true"/>
        </w:rPr>
        <w:t xml:space="preserve">,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בעייתית</w:t>
      </w:r>
      <w:r>
        <w:rPr>
          <w:rtl w:val="true"/>
        </w:rPr>
        <w:t xml:space="preserve">",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ספרתיים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אלכוהוליס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כבר נקבע בפסיקת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עבירות 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בגדר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ועל בית המשפט לתרום את חלקו בביעור התופעה על ידי 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כמסר של הרתעה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7703/19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6.8.20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ראפאת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.11.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5120/11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בילאל שתיווי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המוגנים בבסיס העבירות בנשק הם שמירה על שלום הציבור ובטחונו מפני הסיכון ופוטנציאל הנזק העצום שבקיומם של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תתי מקלע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המסתובבים בשוק החופשי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ומוחזקים על ידי מי שאינם מורשים ומוכשרים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שסופם שיגיעו לגורמים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מניע ביטחוני או 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ויגרמו לנזקים אדירים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איברהים 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עמד על כך בית המשפט העליון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הסכנה הגבוהה במיוחד לשלום הציבור וביטחונו הטמונה בנשיאה והחזקה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עוינת על רקע ביטחוני הן לפעילות עבריינית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הפגיעה בערכים החברתיים המוגנים הינה </w:t>
      </w:r>
      <w:r>
        <w:rPr>
          <w:rFonts w:ascii="David" w:hAnsi="David"/>
          <w:b/>
          <w:b/>
          <w:bCs/>
          <w:rtl w:val="true"/>
        </w:rPr>
        <w:t>ברף 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ומדובר בשני כלי נשק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 כלי נשק התקפיים בעיקרם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פוטנציאל נזק 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 וחומר כשלצדם תחמושת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הוחזקו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זאת כשקטין מעורב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הוחזקו בפאתי העיר טייבה ולא במקום מרכזי או הומה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נעשה בהם שימוש והם לא שימשו לביצוע עבירה נוספת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נסיבות ביצוע העבירה מצביעות על כך שחלקו של הנאשם </w:t>
      </w:r>
      <w:r>
        <w:rPr>
          <w:rFonts w:ascii="David" w:hAnsi="David"/>
          <w:u w:val="single"/>
          <w:rtl w:val="true"/>
        </w:rPr>
        <w:t>מרכזי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ביחד עם אחיו </w:t>
      </w:r>
      <w:r>
        <w:rPr>
          <w:rFonts w:ascii="David" w:hAnsi="David"/>
          <w:b/>
          <w:b/>
          <w:bCs/>
          <w:rtl w:val="true"/>
        </w:rPr>
        <w:t>הקטין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 למקום הימצאות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אותם והכניסם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שלא נגרם נזק 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שכאמור פוטנציא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הנזק הטמון בשימוש בכלי נשק אלו בידי גורמים מסויימים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עבריינים או ביטחוניים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עצום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בפסיקה מעלה כי בגין העבירה 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כשמדובר בהחזקה של כלי 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או בלי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הוטלו על פי רוב מאסרים ממושכים מאחורי סורג ובריח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4559/16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נוסיראת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22.6.16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החזיק נשק מאולתר דמוי קרל גוסטב</w:t>
      </w:r>
      <w:r>
        <w:rPr>
          <w:rFonts w:ascii="David" w:hAnsi="David"/>
          <w:rtl w:val="true"/>
        </w:rPr>
        <w:t xml:space="preserve"> עם 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קיבל את ערעור ה</w:t>
      </w:r>
      <w:r>
        <w:rPr>
          <w:rFonts w:ascii="David" w:hAnsi="David"/>
          <w:rtl w:val="true"/>
        </w:rPr>
        <w:t>מדינה</w:t>
      </w:r>
      <w:r>
        <w:rPr>
          <w:rFonts w:ascii="David" w:hAnsi="David"/>
          <w:rtl w:val="true"/>
        </w:rPr>
        <w:t xml:space="preserve"> על קולת העונש והחמיר את עונשו 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 ב</w:t>
      </w:r>
      <w:r>
        <w:rPr>
          <w:rFonts w:ascii="David" w:hAnsi="David"/>
          <w:rtl w:val="true"/>
        </w:rPr>
        <w:t>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שבין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ללא עבר פלילי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אנואר אבו סבית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</w:rPr>
        <w:t>.12.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במהלך פגישה קיבל הנאשם תיק גב ובתוכ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תת מקלע עם מחסנית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הכנס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וכדור בקנה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שהנאשם לא ידע על הימצאותם של המחסנית והכדור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</w:t>
      </w:r>
      <w:r>
        <w:rPr>
          <w:rFonts w:ascii="David" w:hAnsi="David"/>
          <w:rtl w:val="true"/>
        </w:rPr>
        <w:t xml:space="preserve">ענישה </w:t>
      </w:r>
      <w:r>
        <w:rPr>
          <w:rFonts w:ascii="David" w:hAnsi="David"/>
          <w:rtl w:val="true"/>
        </w:rPr>
        <w:t>הנע בין שנה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מיל 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21.2.12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המערער נ</w:t>
      </w:r>
      <w:r>
        <w:rPr>
          <w:rFonts w:ascii="David" w:hAnsi="David"/>
          <w:rtl w:val="true"/>
        </w:rPr>
        <w:t>סע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שהסליק בו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טעונה בכדורי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וקופסאות עם כדורי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63642-12-18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אהיב אל מוגרבי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בידו נשק מסוג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שמספרו הטבוע הושחת והוא עטוף בניילון נצמד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במתחם הסמוך לביתו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לצד מאסר על תנאי וקנס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6.7.17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חזיק בנשק מסוג רובה תת מקלע מאולתר ומחסנית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קליעים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עונש הולם הנע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62288-05-17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מסרי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15.4.18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בעסק ברובה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מחסנית עטופים ומוסלקים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</w:t>
      </w:r>
      <w:r>
        <w:rPr>
          <w:rFonts w:ascii="David" w:hAnsi="David"/>
          <w:rtl w:val="true"/>
        </w:rPr>
        <w:t xml:space="preserve">השלום גזר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לריצוי בעבודות שירות ובית המשפט </w:t>
      </w:r>
      <w:r>
        <w:rPr>
          <w:rFonts w:ascii="David" w:hAnsi="David"/>
          <w:rtl w:val="true"/>
        </w:rPr>
        <w:t>המחוזי קבע מתחם ש</w:t>
      </w:r>
      <w:r>
        <w:rPr>
          <w:rFonts w:ascii="David" w:hAnsi="David"/>
          <w:rtl w:val="true"/>
        </w:rPr>
        <w:t xml:space="preserve">נע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החמיר </w:t>
      </w:r>
      <w:r>
        <w:rPr>
          <w:rFonts w:ascii="David" w:hAnsi="David"/>
          <w:rtl w:val="true"/>
        </w:rPr>
        <w:t>את עונשו של הנאשם</w:t>
      </w:r>
      <w:r>
        <w:rPr>
          <w:rFonts w:ascii="David" w:hAnsi="David"/>
          <w:rtl w:val="true"/>
        </w:rPr>
        <w:t xml:space="preserve">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53496-03-18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סאמר אבו עסא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החזקת נשק מאולתר אוטומטי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36-15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52546-02-19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סאמי נאבולסי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הורשע בשתי עבירות החזקת נשק ובעבירה של החזקת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במשך כשנתיים וחצי החזיק בנגרייה מתחת לבית משפחתו רובה </w:t>
      </w:r>
      <w:r>
        <w:rPr>
          <w:rFonts w:cs="David" w:ascii="David" w:hAnsi="David"/>
        </w:rPr>
        <w:t>M1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מאולתר המכיל חלקי רובה צייד</w:t>
      </w:r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שונים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ונגזרו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29239-05-19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אמיר זידאת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19.11.20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החזיק תת מקלע מאולתר ובתוכו 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לעובדה כי מדובר בשני כלי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תחמושת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</w:t>
      </w:r>
      <w:r>
        <w:rPr>
          <w:rFonts w:ascii="David" w:hAnsi="David"/>
          <w:b/>
          <w:b/>
          <w:bCs/>
          <w:u w:val="single"/>
          <w:rtl w:val="true"/>
        </w:rPr>
        <w:t>ברגיל</w:t>
      </w:r>
      <w:r>
        <w:rPr>
          <w:rFonts w:ascii="David" w:hAnsi="David"/>
          <w:rtl w:val="true"/>
        </w:rPr>
        <w:t xml:space="preserve"> מתחם העונש ההולם 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ומדוע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ברגיל</w:t>
      </w:r>
      <w:r>
        <w:rPr>
          <w:rFonts w:cs="David" w:ascii="David" w:hAnsi="David"/>
          <w:rtl w:val="true"/>
        </w:rPr>
        <w:t xml:space="preserve">"?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הצדדים עתרו לקביעת מתחם עונש הולם </w:t>
      </w:r>
      <w:r>
        <w:rPr>
          <w:rFonts w:ascii="David" w:hAnsi="David"/>
          <w:u w:val="single"/>
          <w:rtl w:val="true"/>
        </w:rPr>
        <w:t>שונה</w:t>
      </w:r>
      <w:r>
        <w:rPr>
          <w:rFonts w:ascii="David" w:hAnsi="David"/>
          <w:rtl w:val="true"/>
        </w:rPr>
        <w:t xml:space="preserve"> מזה שהם טוענים לו בנסיבות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רגילות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 כמפורט 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 העמדה לדין של מעורבים אחרים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אחדות הענישה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ונסיבות שאינן 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שהודה בביצוע העבירה במסגרת הסדר טיעון וחסך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שהה במעצר מאחורי סורג ובריח במשך כשבועיים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נותר הנאשם במעצר בית </w:t>
      </w:r>
      <w:r>
        <w:rPr>
          <w:rFonts w:ascii="David" w:hAnsi="David"/>
          <w:rtl w:val="true"/>
        </w:rPr>
        <w:t xml:space="preserve">מלא מאוקטובר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יולי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מאז יולי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עד היום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מעצר אדם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מבלי שהפר את תנאי השחרור ולא שב להסתבך 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>תסקיר שירות המבחן מעלה כי לנאשם נסיבות חיים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גדל בתנאי דחק ומצוקה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בצל א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אלים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אלכוהוליסט ונעדר תפקוד והתמודד עם אובדן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אמו </w:t>
      </w:r>
      <w:r>
        <w:rPr>
          <w:rFonts w:ascii="David" w:hAnsi="David"/>
          <w:rtl w:val="true"/>
        </w:rPr>
        <w:t xml:space="preserve">ממחלה </w:t>
      </w:r>
      <w:r>
        <w:rPr>
          <w:rFonts w:ascii="David" w:hAnsi="David"/>
          <w:rtl w:val="true"/>
        </w:rPr>
        <w:t>בגיל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השירות התרשם כי מגיל צעיר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מתמודד עם תפקידים שאינם מותאמים ליכולותיו ולהתפתחותו הרגשית ו</w:t>
      </w:r>
      <w:r>
        <w:rPr>
          <w:rFonts w:ascii="David" w:hAnsi="David"/>
          <w:rtl w:val="true"/>
        </w:rPr>
        <w:t xml:space="preserve">כל זאת </w:t>
      </w:r>
      <w:r>
        <w:rPr>
          <w:rFonts w:ascii="David" w:hAnsi="David"/>
          <w:rtl w:val="true"/>
        </w:rPr>
        <w:t>ללא מעורבות תמיכתית או טיפולית כלשהי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שהנאשם שיתף פעולה עם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התקשה להתייחס באופן מעמיק לנסיבות 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בבסיס התנהגותו ולמעורבותו בקשרים 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השירות התרשם כי הנאשם אינו מכיר בחומרת התנהגותו</w:t>
      </w:r>
      <w:r>
        <w:rPr>
          <w:rFonts w:ascii="David" w:hAnsi="David"/>
          <w:rtl w:val="true"/>
        </w:rPr>
        <w:t xml:space="preserve"> וקבע כי</w:t>
      </w:r>
      <w:r>
        <w:rPr>
          <w:rFonts w:ascii="David" w:hAnsi="David"/>
          <w:rtl w:val="true"/>
        </w:rPr>
        <w:t xml:space="preserve"> רמת הסיכון למעורבותו בעבירות אלימות הינה </w:t>
      </w:r>
      <w:r>
        <w:rPr>
          <w:rFonts w:ascii="David" w:hAnsi="David"/>
          <w:b/>
          <w:b/>
          <w:bCs/>
          <w:rtl w:val="true"/>
        </w:rPr>
        <w:t>בינונית</w:t>
      </w:r>
      <w:r>
        <w:rPr>
          <w:rFonts w:ascii="David" w:hAnsi="David"/>
          <w:rtl w:val="true"/>
        </w:rPr>
        <w:t xml:space="preserve"> ברמת חומרה </w:t>
      </w:r>
      <w:r>
        <w:rPr>
          <w:rFonts w:ascii="David" w:hAnsi="David"/>
          <w:b/>
          <w:b/>
          <w:bCs/>
          <w:rtl w:val="true"/>
        </w:rPr>
        <w:t>נמוכה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לא מסר בדיקות שתן לאיתור סמים כנדרש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והבדיקה היחידה שמסר הצביעה על שימוש בסם מסוג גראס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ניתן להתעלם מטענות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בדבר התנהלות תמוהה של המשטרה כלפי הנאשם במסגרת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בהשוואה להתנהלותה ביחס ליתר המעורבים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טענות אלה מקבלות משנה תוקף נוכח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הפעולה שהוגשו במסגרת הראיות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מהם עולה כי במהלך האירוע נצפה הרכב מושא כתב האישום כשבתוכו ישובים שניים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איברהים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בעל הרכב</w:t>
      </w:r>
      <w:r>
        <w:rPr>
          <w:rFonts w:ascii="David" w:hAnsi="David"/>
          <w:rtl w:val="true"/>
        </w:rPr>
        <w:t xml:space="preserve"> ומי ש</w:t>
      </w:r>
      <w:r>
        <w:rPr>
          <w:rFonts w:ascii="David" w:hAnsi="David"/>
          <w:u w:val="single"/>
          <w:rtl w:val="true"/>
        </w:rPr>
        <w:t>נהג</w:t>
      </w:r>
      <w:r>
        <w:rPr>
          <w:rFonts w:ascii="David" w:hAnsi="David"/>
          <w:rtl w:val="true"/>
        </w:rPr>
        <w:t xml:space="preserve">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ולצדו איאד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כשהשניים אף היו </w:t>
      </w:r>
      <w:r>
        <w:rPr>
          <w:rFonts w:ascii="David" w:hAnsi="David"/>
          <w:u w:val="single"/>
          <w:rtl w:val="true"/>
        </w:rPr>
        <w:t>תחת השפעת 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כשהתקרבה ניידת המשטרה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נזרק אחד מכלי הנשק </w:t>
      </w:r>
      <w:r>
        <w:rPr>
          <w:rFonts w:ascii="David" w:hAnsi="David"/>
          <w:u w:val="single"/>
          <w:rtl w:val="true"/>
        </w:rPr>
        <w:t>מהחלון הקדמי של הרכב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ונשק נוסף וכדורי תחמושת נתפסו במושב האחורי ועל רצפת הרכב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למרות </w:t>
      </w:r>
      <w:r>
        <w:rPr>
          <w:rFonts w:ascii="David" w:hAnsi="David"/>
          <w:b/>
          <w:b/>
          <w:bCs/>
          <w:rtl w:val="true"/>
        </w:rPr>
        <w:t>שעל פניו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באמור בדו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הפעולה של שלושת השוטרים שנכחו בזירה כדי לקיים את יסודותיה העובדתיים והנפשיים של עבירת החזקת נשק בעניינם של איברהים ואיאד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בסיס ראייתי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נוספות של 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ונהיגה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שהתיק בעניינם </w:t>
      </w:r>
      <w:r>
        <w:rPr>
          <w:rFonts w:ascii="David" w:hAnsi="David"/>
          <w:u w:val="single"/>
          <w:rtl w:val="true"/>
        </w:rPr>
        <w:t>נסגר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חרף העובדה שניתנה למאשימה הזדמנות להגיש חומר ראיות שיש בו לשפוך אור אחר על ההתרחשות מושא כתב האישום ועל החקירה שהתנהלה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בחרה שלא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והסתפקה בהפניה כללית להכחשה גורפת של איברהים ואיאד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לתרגיל חקירה שבוצע להם במסגרתו הפלילו את הנאשם ולחקירה מאוחרת שבוצעה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שהוטח בו שהופלל על ידי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הודה בהחזקת כלי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אינו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תובע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ולא מחליף את שיקול דעת התביעה הכללית בשיקול דעתו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גם שבמקרה דנן לא נחשפתי למכלול חומר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הדברים שנכתבו לעיל נאמרים בזהירות הראויה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ראה והשווה</w:t>
      </w:r>
      <w:r>
        <w:rPr>
          <w:rFonts w:cs="David" w:ascii="David" w:hAnsi="David"/>
          <w:rtl w:val="true"/>
        </w:rPr>
        <w:t xml:space="preserve">: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7052/18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רותם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5.5.20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color w:val="0000FF"/>
            <w:u w:val="single"/>
          </w:rPr>
          <w:t>5752/17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פרקליטות המדינה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9.9.19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</w:t>
      </w:r>
      <w:r>
        <w:rPr>
          <w:rFonts w:ascii="David" w:hAnsi="David"/>
          <w:b/>
          <w:b/>
          <w:bCs/>
          <w:rtl w:val="true"/>
        </w:rPr>
        <w:t xml:space="preserve">בעתירתה לקביעת מתחם עונש מקל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לעומת מתחמים לה עותרת בהתאם להנחיית פרקליט המדינה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ובבקשתה למיקום עונשו של הנאשם בתחתית המתחם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חרף האמור בתסקיר שירות המבחן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הרי שגם המאשימה מודה שאין מדובר בסיטואציה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רגילה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וכי יש לנהוג בנאשם אחרת נוכח העובדה שהוא </w:t>
      </w:r>
      <w:r>
        <w:rPr>
          <w:rFonts w:ascii="David" w:hAnsi="David"/>
          <w:b/>
          <w:b/>
          <w:bCs/>
          <w:u w:val="single"/>
          <w:rtl w:val="true"/>
        </w:rPr>
        <w:t>היחיד</w:t>
      </w:r>
      <w:r>
        <w:rPr>
          <w:rFonts w:ascii="David" w:hAnsi="David"/>
          <w:b/>
          <w:b/>
          <w:bCs/>
          <w:rtl w:val="true"/>
        </w:rPr>
        <w:t xml:space="preserve"> שהורשע בהחזקת כלי הנשק והוא היחיד שיישא בעונש מאסר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התביעה עצמה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בטיעוניה לעונש דיברה על קשיים ראייתיים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בהיבט של אי העמדה לדין של מעורבים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שהביאה אותה לעתירה על פי מתחם עונש מקל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התייחסה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בהן עומד נאשם אחד לדין בעוד שנגד אחרים התיק נסגר כאשר עומדת נגדם תשתית ראייתית דומה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הפסיקה על חשיבותו של עקרון אחידות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נקבע כי ע</w:t>
      </w:r>
      <w:r>
        <w:rPr>
          <w:rFonts w:ascii="David" w:hAnsi="David"/>
          <w:rtl w:val="true"/>
        </w:rPr>
        <w:t xml:space="preserve">יקרון אחידות הענישה </w:t>
      </w:r>
      <w:r>
        <w:rPr>
          <w:rFonts w:ascii="David" w:hAnsi="David"/>
          <w:rtl w:val="true"/>
        </w:rPr>
        <w:t>אינו חזות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הוא </w:t>
      </w:r>
      <w:r>
        <w:rPr>
          <w:rFonts w:ascii="David" w:hAnsi="David"/>
          <w:rtl w:val="true"/>
        </w:rPr>
        <w:t>נועד למנוע אפליה בין נאשמים שפשעו יחדיו ובנסיבות דומות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לא בא לכפות על בית המשפט אמת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מידה עונשית מוטעית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מפני שהיא ננקטה במקרהו של אחד הנאשמים המשותפים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1729/14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ערפאת ביומי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1109/02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מרדכי שושני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קבעה כי י</w:t>
      </w:r>
      <w:r>
        <w:rPr>
          <w:rFonts w:ascii="David" w:hAnsi="David"/>
          <w:rtl w:val="true"/>
        </w:rPr>
        <w:t>ש לאזן את עקרון אח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דות הענישה אל מול עקרון ההלימה שנקבע כעקרון המנחה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hyperlink r:id="rId32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הכיר ב</w:t>
      </w:r>
      <w:r>
        <w:rPr>
          <w:rFonts w:ascii="David" w:hAnsi="David"/>
          <w:rtl w:val="true"/>
        </w:rPr>
        <w:t>חר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משמעותית לקול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ממתחם הענישה אך ורק בשל עקרון אח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דות </w:t>
      </w:r>
      <w:r>
        <w:rPr>
          <w:rFonts w:ascii="David" w:hAnsi="David"/>
          <w:rtl w:val="true"/>
        </w:rPr>
        <w:t xml:space="preserve">הענישה והותיר על כנה את קביעת בית המשפט המחוזי לפיה הגם שנקבע כי </w:t>
      </w:r>
      <w:r>
        <w:rPr>
          <w:rFonts w:ascii="David" w:hAnsi="David"/>
          <w:rtl w:val="true"/>
        </w:rPr>
        <w:t xml:space="preserve">עקרון אחידות הענישה אינו נכלל </w:t>
      </w:r>
      <w:r>
        <w:rPr>
          <w:rFonts w:ascii="David" w:hAnsi="David"/>
          <w:rtl w:val="true"/>
        </w:rPr>
        <w:t>במפורש ב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שבהתאם לאמור </w:t>
      </w:r>
      <w:hyperlink r:id="rId34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רשאי בית המשפט </w:t>
      </w:r>
      <w:r>
        <w:rPr>
          <w:rFonts w:ascii="David" w:hAnsi="David"/>
          <w:b/>
          <w:b/>
          <w:bCs/>
          <w:rtl w:val="true"/>
        </w:rPr>
        <w:t>לשקול נסיבות נוספות הקשורות בביצוע 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4761/15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אמיר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42927-05-14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אמיר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9545/09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ריואן עז אלדין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 בית המשפט העליון בעונשו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שקבע כי עונשו אינו סוטה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לכשעצמו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ממדיניות הענישה הראויה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אולם ראוי להתערבות </w:t>
      </w:r>
      <w:r>
        <w:rPr>
          <w:rFonts w:ascii="David" w:hAnsi="David"/>
          <w:rtl w:val="true"/>
        </w:rPr>
        <w:t>לאור עקרון אחידות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טענת אכיפה בררנית שבאי העמדתם של מעורבים נוספים באירוע מושא 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כי </w:t>
      </w:r>
      <w:r>
        <w:rPr>
          <w:rFonts w:ascii="David" w:hAnsi="David"/>
          <w:rtl w:val="true"/>
        </w:rPr>
        <w:t>אין באי העמד</w:t>
      </w:r>
      <w:r>
        <w:rPr>
          <w:rFonts w:ascii="David" w:hAnsi="David"/>
          <w:rtl w:val="true"/>
        </w:rPr>
        <w:t>תם של מעורבים נוספים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כשלעצמו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לבסס אכיפה בררנית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במקום בו עלו </w:t>
      </w:r>
      <w:r>
        <w:rPr>
          <w:rFonts w:ascii="David" w:hAnsi="David"/>
          <w:b/>
          <w:b/>
          <w:bCs/>
          <w:rtl w:val="true"/>
        </w:rPr>
        <w:t>שיקולים זרים או שרירותיות בהחלטות התביעה להעמיד לדין רק חלק מהמעורבים בפרש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יתכנו מקרים חריגים בהם תתקבל הטענה </w:t>
      </w:r>
      <w:r>
        <w:rPr>
          <w:rFonts w:ascii="David" w:hAnsi="David"/>
          <w:b/>
          <w:b/>
          <w:bCs/>
          <w:rtl w:val="true"/>
        </w:rPr>
        <w:t>אף אם לא הוכח מניע 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שהתשתית הראייתית אשר בבסיס החשדות כלפי כל אחד מהמעורבים דומה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7216/20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שמואל קינן קליין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וראה גם</w:t>
      </w:r>
      <w:r>
        <w:rPr>
          <w:rFonts w:cs="David" w:ascii="David" w:hAnsi="David"/>
          <w:rtl w:val="true"/>
        </w:rPr>
        <w:t xml:space="preserve">: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5805/19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קליינמן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28.12.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זו בלבד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חומרי חקירה המצביעים על מעורבותם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איברהים ואיאד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שכאמור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אף לא הגישה מטעמה חומרי חקירה שיתמכו בטענתה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שוני ראייתי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בינם לבין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עתרה לקביעת מתחם עונש הולם מקל מזה לו טוענת בדרך כלל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עיון בגזר דינו של הקטין מעלה כי הגם שחלקו באירוע דומה עד זהה לזה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 פי האמור בכתב האישום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העבירה בעניינו הומרה לעבירה קלה משמעותית מזו שיוחסה לו ולנאשם בתחילה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והתיק נגדו הסתיים ללא 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בכך יש כדי לפגוע בתחושת הצדק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מצאתי לקבוע מתחם עונש הולם המתאים לנסיבותיו המיוחדות של האירוע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כמפורט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נוכח גילו הצעיר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 חיים קשות כמפורט בתסקיר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הודאה ונטילת 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חסכון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חלוף זמן רב מאז ביצוע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שהנאשם היה עצור בגין תיק זה משך כשבועיים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היותו של הנאשם נתון בתנאים מגבילים משך זמן רב מאוד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ומבלי להתעלם מהעובדה שהנאשם לא נרתם להליך שיקומי ועישן גראס במהלך שהייתו במעצר הבית הממושך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מצאתי למקם עונשו של הנאשם ב</w:t>
      </w:r>
      <w:r>
        <w:rPr>
          <w:rFonts w:ascii="David" w:hAnsi="David"/>
          <w:u w:val="single"/>
          <w:rtl w:val="true"/>
        </w:rPr>
        <w:t>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9.10.18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21.10.18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הנאשם יתייצב לריצוי מאסרו ביום </w:t>
      </w:r>
      <w:r>
        <w:rPr>
          <w:rFonts w:cs="David" w:ascii="David" w:hAnsi="David"/>
          <w:b/>
          <w:bCs/>
        </w:rPr>
        <w:t>16.5.21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שעה </w:t>
      </w:r>
      <w:r>
        <w:rPr>
          <w:rFonts w:cs="David" w:ascii="David" w:hAnsi="David"/>
          <w:b/>
          <w:bCs/>
        </w:rPr>
        <w:t>10:00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בבית סוהר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הדרים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כשבידו תעודת זהות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התנאים המגבילים והערבויות הכספיות שהוטלו על הנאשם במסגרת הליך המעצר עד תום ההליכים ימשיכו לחול עד להתייצבות הנאשם למאסר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ascii="David" w:hAnsi="David"/>
          <w:rtl w:val="true"/>
        </w:rPr>
        <w:t xml:space="preserve">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שלא </w:t>
      </w:r>
      <w:r>
        <w:rPr>
          <w:rFonts w:ascii="David" w:hAnsi="David"/>
          <w:rtl w:val="true"/>
        </w:rPr>
        <w:t>יעבור כל עבירת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ascii="David" w:hAnsi="David"/>
          <w:rtl w:val="true"/>
        </w:rPr>
        <w:t xml:space="preserve">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שלא יעבור </w:t>
      </w:r>
      <w:r>
        <w:rPr>
          <w:rFonts w:ascii="David" w:hAnsi="David"/>
          <w:rtl w:val="true"/>
        </w:rPr>
        <w:t>כל עבירת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3,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15.5.21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ישולם תשלום במועדו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כל הסכום לפירעון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ידי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ובהסכמת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יועבר סכום על חשבון הקנס מהפקדה שהפקיד הנאשם במסגרת תיק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32829-10-28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היתרה תישאר מופקדת לצורך הבטחת התייצבותו של הנאשם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כלי נשק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יושמדו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ניתן צו כללי למוצגים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3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ניסן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מרץ 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ראזי בטחיש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הנאשם </w:t>
      </w:r>
      <w:bookmarkEnd w:id="13"/>
      <w:r>
        <w:rPr>
          <w:rFonts w:ascii="David" w:hAnsi="David"/>
          <w:b/>
          <w:b/>
          <w:bCs/>
          <w:rtl w:val="true"/>
        </w:rPr>
        <w:t>ובא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32787-10-18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סלמאן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j.b.1" TargetMode="External"/><Relationship Id="rId5" Type="http://schemas.openxmlformats.org/officeDocument/2006/relationships/hyperlink" Target="http://www.nevo.co.il/law/70301/40j.b.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j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j.b.1" TargetMode="External"/><Relationship Id="rId11" Type="http://schemas.openxmlformats.org/officeDocument/2006/relationships/hyperlink" Target="http://www.nevo.co.il/law/70301/40j.b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1474168" TargetMode="External"/><Relationship Id="rId14" Type="http://schemas.openxmlformats.org/officeDocument/2006/relationships/hyperlink" Target="http://www.nevo.co.il/case/26205761" TargetMode="External"/><Relationship Id="rId15" Type="http://schemas.openxmlformats.org/officeDocument/2006/relationships/hyperlink" Target="http://www.nevo.co.il/case/26492590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5995135" TargetMode="External"/><Relationship Id="rId18" Type="http://schemas.openxmlformats.org/officeDocument/2006/relationships/hyperlink" Target="http://www.nevo.co.il/case/25612982" TargetMode="External"/><Relationship Id="rId19" Type="http://schemas.openxmlformats.org/officeDocument/2006/relationships/hyperlink" Target="http://www.nevo.co.il/case/21475135" TargetMode="External"/><Relationship Id="rId20" Type="http://schemas.openxmlformats.org/officeDocument/2006/relationships/hyperlink" Target="http://www.nevo.co.il/case/16944929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25266865" TargetMode="External"/><Relationship Id="rId23" Type="http://schemas.openxmlformats.org/officeDocument/2006/relationships/hyperlink" Target="http://www.nevo.co.il/case/22607175" TargetMode="External"/><Relationship Id="rId24" Type="http://schemas.openxmlformats.org/officeDocument/2006/relationships/hyperlink" Target="http://www.nevo.co.il/case/22656414" TargetMode="External"/><Relationship Id="rId25" Type="http://schemas.openxmlformats.org/officeDocument/2006/relationships/hyperlink" Target="http://www.nevo.co.il/case/23814812" TargetMode="External"/><Relationship Id="rId26" Type="http://schemas.openxmlformats.org/officeDocument/2006/relationships/hyperlink" Target="http://www.nevo.co.il/case/25473221" TargetMode="External"/><Relationship Id="rId27" Type="http://schemas.openxmlformats.org/officeDocument/2006/relationships/hyperlink" Target="http://www.nevo.co.il/case/25691183" TargetMode="External"/><Relationship Id="rId28" Type="http://schemas.openxmlformats.org/officeDocument/2006/relationships/hyperlink" Target="http://www.nevo.co.il/case/25041578" TargetMode="External"/><Relationship Id="rId29" Type="http://schemas.openxmlformats.org/officeDocument/2006/relationships/hyperlink" Target="http://www.nevo.co.il/case/22838061" TargetMode="External"/><Relationship Id="rId30" Type="http://schemas.openxmlformats.org/officeDocument/2006/relationships/hyperlink" Target="http://www.nevo.co.il/case/16900333" TargetMode="External"/><Relationship Id="rId31" Type="http://schemas.openxmlformats.org/officeDocument/2006/relationships/hyperlink" Target="http://www.nevo.co.il/case/5696101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jb" TargetMode="External"/><Relationship Id="rId35" Type="http://schemas.openxmlformats.org/officeDocument/2006/relationships/hyperlink" Target="http://www.nevo.co.il/case/20426325" TargetMode="External"/><Relationship Id="rId36" Type="http://schemas.openxmlformats.org/officeDocument/2006/relationships/hyperlink" Target="http://www.nevo.co.il/case/16951844" TargetMode="External"/><Relationship Id="rId37" Type="http://schemas.openxmlformats.org/officeDocument/2006/relationships/hyperlink" Target="http://www.nevo.co.il/case/6155180" TargetMode="External"/><Relationship Id="rId38" Type="http://schemas.openxmlformats.org/officeDocument/2006/relationships/hyperlink" Target="http://www.nevo.co.il/case/27091247" TargetMode="External"/><Relationship Id="rId39" Type="http://schemas.openxmlformats.org/officeDocument/2006/relationships/hyperlink" Target="http://www.nevo.co.il/case/26019023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2021-11-29T10:25:00Z</dcterms:created>
  <dc:creator> </dc:creator>
  <dc:description/>
  <cp:keywords/>
  <dc:language>en-IL</dc:language>
  <cp:lastModifiedBy>h1</cp:lastModifiedBy>
  <dcterms:modified xsi:type="dcterms:W3CDTF">2021-11-29T10:25:00Z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סלמאן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21474168;26205761;26492590;25824863;5995135;25612982;21475135;16944929;5878682;25266865;22607175;22656414;23814812;25473221;25691183;25041578;22838061;16900333;5696101;20426325;16951844;6155180;27091247;26019023</vt:lpwstr>
  </property>
  <property fmtid="{D5CDD505-2E9C-101B-9397-08002B2CF9AE}" pid="9" name="CITY">
    <vt:lpwstr>כ"ס</vt:lpwstr>
  </property>
  <property fmtid="{D5CDD505-2E9C-101B-9397-08002B2CF9AE}" pid="10" name="DATE">
    <vt:lpwstr>20210322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70301/144.a;040j.b.1;040j.b.2;040b;40jb</vt:lpwstr>
  </property>
  <property fmtid="{D5CDD505-2E9C-101B-9397-08002B2CF9AE}" pid="15" name="LAWYER">
    <vt:lpwstr>אוריה תוהמי;עלא תילאווי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32787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380020210322</vt:lpwstr>
  </property>
  <property fmtid="{D5CDD505-2E9C-101B-9397-08002B2CF9AE}" pid="34" name="TYPE_N_DATE">
    <vt:lpwstr>38020210322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