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</w:t>
            </w:r>
            <w:hyperlink r:id="rId2">
              <w:r>
                <w:rPr>
                  <w:rStyle w:val="Hyperlink"/>
                  <w:b/>
                  <w:b/>
                  <w:bCs/>
                  <w:sz w:val="26"/>
                  <w:sz w:val="26"/>
                  <w:szCs w:val="26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sz w:val="26"/>
                  <w:szCs w:val="26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sz w:val="26"/>
                  <w:sz w:val="26"/>
                  <w:szCs w:val="26"/>
                  <w:rtl w:val="true"/>
                </w:rPr>
                <w:t xml:space="preserve">פ </w:t>
              </w:r>
              <w:r>
                <w:rPr>
                  <w:rStyle w:val="Hyperlink"/>
                  <w:b/>
                  <w:bCs/>
                  <w:sz w:val="26"/>
                  <w:szCs w:val="26"/>
                </w:rPr>
                <w:t>32810-02-11</w:t>
              </w:r>
            </w:hyperlink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רביע חוסין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פ </w:t>
            </w:r>
            <w:r>
              <w:rPr>
                <w:b/>
                <w:bCs/>
              </w:rPr>
              <w:t>32810-02-11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אורית קורין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טארק נעאמנה ממשרד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אבראהים כנאן 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בעצמו באמצעות השב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ס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Heading1"/>
        <w:ind w:hanging="0" w:start="0" w:end="0"/>
        <w:jc w:val="center"/>
        <w:rPr>
          <w:rFonts w:ascii="Arial" w:hAnsi="Arial" w:cs="Arial"/>
        </w:rPr>
      </w:pPr>
      <w:r>
        <w:rPr>
          <w:rFonts w:cs="Arial"/>
          <w:rtl w:val="true"/>
        </w:rPr>
      </w:r>
    </w:p>
    <w:p>
      <w:pPr>
        <w:pStyle w:val="Heading1"/>
        <w:ind w:hanging="0" w:start="0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kern w:val="2"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kern w:val="2"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kern w:val="2"/>
          <w:sz w:val="32"/>
          <w:szCs w:val="32"/>
          <w:u w:val="single"/>
        </w:rPr>
      </w:pPr>
      <w:r>
        <w:rPr>
          <w:rFonts w:cs="Arial" w:ascii="Arial" w:hAnsi="Arial"/>
          <w:b/>
          <w:bCs/>
          <w:kern w:val="2"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המייחס לו עבירה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ייצור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ייבוא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ייצור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ייבוא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</w:t>
      </w:r>
      <w:r>
        <w:rPr>
          <w:rFonts w:ascii="Arial" w:hAnsi="Arial" w:cs="Arial"/>
          <w:b/>
          <w:b/>
          <w:bCs/>
          <w:rtl w:val="true"/>
        </w:rPr>
        <w:t xml:space="preserve">ועבירות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.  </w:t>
      </w:r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מפרט פרשה מורכבת ומסועפת של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פרשה אשר הניבה מספר רב של כתבי אישום כנגד עבריינים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כשחלקו של הנאשם דנן הינו דומיננטי ועיקרי בפרשה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באסל מוקטרן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באסל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ואחיו איסלאם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איסלאם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לביצוע עבירות פליליות למטרות רווח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עמדו באסל ואיסלאם במרכזו של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 והובלת נשק לאחרים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באסל ואיסלאם פעלו באופן היררכי כך שבאסל 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איסלאם 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הוראותיו של באסל וביצע בשליחותו פעולות הקשורות לעבירות הנשק ולהוצאתן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גם יצר קשר עם סוחרי נשק אחרים שפעלו במקביל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יחסי גומלין ביניהם ושיתוף פעולה הדדי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וסחר בו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היה אף בעל מומחיות וידע בתיקון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ושימש מומחה לכל בעיה טכנית או תקלה אליו הגיעו אחרים לשם תיקון כלי נשק מסוגים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מימוש מטרות הארגון וקידומו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ואחרים בשיטתיות ונקטו אמצעי זהירות מובהקים בביצוע עבירות הנשק 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להם ולאחרים עימם קשרו את הקשר לביצוע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להם היטב ואלה שימשו 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כלי הנשק במקומות מסתור מחוץ לבתיהם של באסל ואיסלאם ולעתים מסירת כלי הנשק והתחמושת להחזקה ומשמורת עבורם אצל החיילים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 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מקומות המפגש והחזקת כלי הנשק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התקיימו ברפת או בסמוך 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במועדים הרלוונטיים בכתב האישום שימש הנאשם כסוחר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ובינו לבין באסל שררו יחסי הכרות וגומלין על בסיס עסקאות הדדיות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ובאסל קשרו ביניהם קשר לבצע 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במספר רב של הזדמנויות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ובאסל קשרו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פעמים בצוותא חדא ופעמים בנפרד עשרות רבות של קשרים עם אחרים לקנות מהם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או למכור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סחר הנאש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וייצר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בעשרות רבות של מקרים בתדירות יומיומית ולעתים אף מספר פעמים בכל יום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בהרחבה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סיכמו הצדדים כי הטיעון לעונש בעניינו של הנאשם יהיה פתוח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לבקשת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הופנה הנאשם לקבלת תסקיר שירות מבחן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תסקיר שירות מבחן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בתסקיר שירות המבחן צוין כי הנאשם קיבל אחריות למיוחס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על התנהלותו וביטא תובנה מילולית לחומרת העבירות ולסכנה הטמונה בביצוען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האמור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ממקם עצמו בעמדה קורבנית ונוטה לראות במכרו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הפנה אותו לסוחר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כאחראי לתחילת מעורבותו הפלילית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השלכת האחריות לתחילת מעורבותו בעבירות על 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ראיית עצמו כזקוק לטיפול והקושי לבוא במגע עם חומרת מעשיו והקושי לגעת בתכנים קשים ומורכבים סביב ילדותו והתבגרותו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מותירים את התנהלותו של הנאשם כנובעת ממוקד שליטה חיצוני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סבור כי בשלב זה של חייו יתקשה הנאשם להפיק תועלת מהתערבות טיפולית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האמור לעיל ולאור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מלבוא בהמלצה טיפולית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להטיל עליו ענישה קונקרטית ומוחשית של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טיעונים לעונש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כי הנאשם שימש כסוחר נשק פעיל ועצמאי ועסק ביחסי מסחר בכלי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עם מעורבים אחרים בפרשת הסחר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עמדה על חומרת המעשים המיוחסים לנאשם וטענה כי העבירות המיוחסות לנאשם הינן מן החמורות שבספר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השיטה המתוחכמת ומרכזיות הנאשם בפרשה מעידות על מסוכנותו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המאשימה כי הנאשם שימש כסוחר נשק עצמאי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סיפק לבאסל כמויות רבות של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והווה חלק בשרשרת ייצור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חלקו עבר אף לשטחים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חומרה יתרה נלמדת מן העובדה כי כלי הנשק שעברו תחת ידו של הנאשם לא נתפסו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עתרה להטיל על הנאשם עונש של שבע שנות מאסר בפועל בדומה לעונש שנגזר על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וקנס משמעותי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טען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הבדל בין הנאשם לבין באסל ואיסלאם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חלקו של הנאשם פחות מחלקם של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באסל הוא זה אשר שימש כראש הפירמידה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להתחשב בהודאת הנאשם בעובדות כתב האישום המתוקן וטען כי הודאתו הייתה גורפת על מנת לחסוך בזמנו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הסניגור להתחשב בכך שהנאשם התחרט וקיבל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המדובר במעורבותו הראשונה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וטען כי הנאשם ביצע את מעשיו מחמת מצוקה כלכלית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הינו המפרנס היחיד במשפחה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ביקש להשוות את עניינו של הנאשם לנאשם אחר בפרשה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מוחמד טייב עליו הוטלו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לחילופין ביקש להטיל על הנאשם תקופת מאסר שתהיה פרופורציונאלית לעבירות המיוחסות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בניכוי 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להתחשב בו וטען בפניי כי הוא טעה והתלווה לבאסל וזאת לאחר שנקלע למצוקה כלכלית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 שבית המשפט יורה על הטלת עונש מאסר בפועל ביקש הנאשם לשלבו בבית כלא חרמון על מנת לעבור תהליך טיפולי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גזירת הדין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עמדתי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החומרה היתרה שבעבירות המיוחסות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ולמרבה הצער מוצא את עצמי 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עבריין נוסף בחולייה נשוא פרשת העבירות בנשק עסקינן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מואשם בלא פחות מעשרות רבות של סעיפי אישום כמפורט בהרחבה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המגוללים את חלקו הדומיננטי בפרשת הסחר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חלקו של הנאשם בפרשת הסחר בנשק הינו אינטגראלי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מהותי ועיקרי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נעלה מכל ספק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שימש חולייה מרכזית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ונסיבות עניינו חמורות במיוחד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פעל במישורים שונים 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מחד הוא שימש כיד ימינו של באסל בהוצאות העסקאות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כשמאידך הוא פעל באופן עצמאי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כסוחר עצמאי על כל המשתמע והעביר לידי באסל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על מנת להביא למכירתם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מילים שיש בהן כדי לתאר את התחכום והתעוזה מצידו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החומרה שבמעשיו של הנאשם מקבלת משנה תוקף לאור העובדה כי לא ברור מה עלה בגורלם של כלי הנשק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שעברו מתחת לידיו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כשאין לשלול את הסיכון האינהרנטי שבעבירות מעין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והסיכוי שכלי הנשק יגיעו לידיים עוינות שיעשו בהם שימוש נפשע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לצרכים פליליים ובין לשם ביצוע עבירות ביטחוניות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אפנה לעניין זה לדברים האמורים ב</w:t>
      </w:r>
      <w:hyperlink r:id="rId1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4609/98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אחמד טאהא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טרם פורסם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66" w:end="540"/>
        <w:jc w:val="both"/>
        <w:rPr>
          <w:rFonts w:ascii="Arial" w:hAnsi="Arial" w:cs="Arial"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העבירות של סחר בנשק הן עבירות חמורות מאד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הנשק הנסחר עלול לעבור מיד 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 אינו נרכש באופן חוקי וחזקה היא שהוא לא נועד לשמש מטרה חוקית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 כשהוא נמצא בידי אדם שאינו עבריין או מחבל טמונה בו סכנת 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 וחומר אם הוא מתגלגל ומגיע לידי עבריין או מחבל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ועלינו לקחת בחשבון אפשרות כזאת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 מפניה ולמנוע את הסכנה הצפוייה מן הנשק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 ספק כי סכנת חיים טמונה בסחר 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 אירועים שהתרחשו בתקופה האחרונה נראה כי סכנה זאת מחמירה והולכת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 שומה על בית המשפט להתריע כנגד סכנה זאת ולפעול כנדרש כדי להרתיע מפני עבירה זאת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החומרה והמסוכנות הנשקפת מעבירות בנשק עמדו בתי המשפט לא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אף מגמת ההחמרה הנוהגת בבתי המשפט בגין עבירות מעין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התופעה עדיין משתוללת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בית המשפט מחוייב לנקוט באמצעים נחרצים יותר על מנת להביא לביעור התופעה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החובה להחמיר בענישה בעבירות נשק 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15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יצחק 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ד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66" w:end="54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 שהמציאות השוררת היום בארץ – זמינותו של נשק חם ורב עוצמה שיש עמו פוטנציאל להסלמה באלימות העבריינית והאידאולוגית כאחד – מחייבת מתן ביטוי עונשי הולם והחמרה ברמת הענישה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54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Fonts w:cs="Times New Roman" w:ascii="Times New Roman" w:hAnsi="Times New Roman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tl w:val="true"/>
        </w:rPr>
        <w:t xml:space="preserve">עוד ראה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עבד אל חפיז ואכד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2.8.07</w:t>
      </w:r>
      <w:r>
        <w:rPr>
          <w:rtl w:val="true"/>
        </w:rPr>
        <w:t>):</w:t>
      </w:r>
    </w:p>
    <w:p>
      <w:pPr>
        <w:pStyle w:val="Normal"/>
        <w:spacing w:lineRule="auto" w:line="360"/>
        <w:ind w:start="1466" w:end="54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 צורך לשוב ולהדגיש את הסכנה הכרוכה בעבירות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ונזכיר רק כי השימוש בכלי נשק המוחזקים שלא כחוק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הפך לעניין שבשגרה בביצוען של עבירות או לפגיעה בעבריינים 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 מחירם של מעשים אלה שילמו לא אחת בחייהם אזרחים תמימים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כן מצווים אנו להחמיר בעניינם של נאשמים החוטאים בתחום זה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יש לדחות את הסבריו של הנאשם לפיהם הוא ביצע את העבירות המיוחסות לו מחמת מצוקה כלכלית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עת התלווה לבאסל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או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בהסברים אלה משום שיקול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היקפם העצום של העבירות מעיד כאלף עדים על כוונתו המבוססת של הנאשם לעסוק בסחר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אף שיקול לרבות מצוקה כלכלית אינו מצדיק התנהלותו הממושכת והנפשעת של הנאשם כמפורט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לזכותו של הנאשם 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בעובדות כתב האישום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וחרטתו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להשלמת התמונה אעיר כי שקלתי והתחשבתי בטיעוני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באשר להשוואת גזירת דינו של הנאשם לנאשמים אחרים בפרשייה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מלאכת גזירת הדין לעולם אינדיווידואלית וכל נאשם הינו עולם ומלואו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דן את הנאשם למאסר לתקופה של ארבע וחצי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דן את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למשך שלוש שנים מיום סיום 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אחת מהעבירות בהן הורשע בכתב אישום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 xml:space="preserve">זכות ערעור לבית המשפט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24/10/2011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סגן נשיא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ערין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בראנסה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00"/>
          <w:sz w:val="28"/>
          <w:sz w:val="28"/>
          <w:rtl w:val="true"/>
        </w:rPr>
        <w:t>בעניין עריכה ושינויים במסמכי 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00"/>
          <w:sz w:val="28"/>
          <w:u w:val="single"/>
        </w:rPr>
      </w:pPr>
      <w:r>
        <w:rPr>
          <w:color w:val="000000"/>
          <w:sz w:val="28"/>
          <w:sz w:val="28"/>
          <w:u w:val="single"/>
          <w:rtl w:val="true"/>
        </w:rPr>
        <w:t>נוסח מסמך זה כפוף לשינויי ניסוח ועריכה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32810-02-11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רביע 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2810-02-11"/>
    <w:docVar w:name="caseId" w:val="69331217"/>
    <w:docVar w:name="deriveClass" w:val="NGCS.Protocol.BL.Client.ProtocolBLClientCriminal"/>
    <w:docVar w:name="firstPageNumber" w:val="12"/>
    <w:docVar w:name="MyInfo" w:val="This document was extracted from Nevo's site"/>
    <w:docVar w:name="NGCS.caseInterestID" w:val="-1"/>
    <w:docVar w:name="NGCS.caseTypeID" w:val="10048"/>
    <w:docVar w:name="NGCS.courtID" w:val="1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20443537@GOV.IL"/>
    <w:docVar w:name="privellegeId" w:val="1"/>
    <w:docVar w:name="protocolId" w:val="2297702"/>
    <w:docVar w:name="releaseSign" w:val="0"/>
    <w:docVar w:name="sittingDateTime" w:val="24/10/2011 10:00     "/>
    <w:docVar w:name="sittingId" w:val="7218723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7204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5707014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5873817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2016-05-03T12:00:00Z</dcterms:created>
  <dc:creator> </dc:creator>
  <dc:description/>
  <cp:keywords/>
  <dc:language>en-IL</dc:language>
  <cp:lastModifiedBy>hofit</cp:lastModifiedBy>
  <cp:lastPrinted>2011-10-24T11:43:00Z</cp:lastPrinted>
  <dcterms:modified xsi:type="dcterms:W3CDTF">2016-05-03T12:00:00Z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רביע חוסין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2872044;5707014;5762686;5873817</vt:lpwstr>
  </property>
  <property fmtid="{D5CDD505-2E9C-101B-9397-08002B2CF9AE}" pid="9" name="CITY">
    <vt:lpwstr>נצ'</vt:lpwstr>
  </property>
  <property fmtid="{D5CDD505-2E9C-101B-9397-08002B2CF9AE}" pid="10" name="DATE">
    <vt:lpwstr>20111024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70301/499.a.1;144.b2:2;025;144.a</vt:lpwstr>
  </property>
  <property fmtid="{D5CDD505-2E9C-101B-9397-08002B2CF9AE}" pid="15" name="LAWYER">
    <vt:lpwstr>אורית קורין;טארק נעאמנה ממשרד אבראהים כנאן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32810</vt:lpwstr>
  </property>
  <property fmtid="{D5CDD505-2E9C-101B-9397-08002B2CF9AE}" pid="22" name="NEWPARTB">
    <vt:lpwstr>02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390020111024</vt:lpwstr>
  </property>
  <property fmtid="{D5CDD505-2E9C-101B-9397-08002B2CF9AE}" pid="34" name="TYPE_N_DATE">
    <vt:lpwstr>39020111024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