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32839-02-11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מוקטרן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באסל מוקטרן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איסלאם מוקטרן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מורן רייצ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 כנעאנה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הובאו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u w:val="none"/>
          <w:rtl w:val="true"/>
        </w:rPr>
        <w:t>במסמך זה הושמטו פרוטוקולים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8"/>
          <w:szCs w:val="28"/>
          <w:u w:val="none"/>
        </w:rPr>
      </w:pPr>
      <w:r>
        <w:rPr>
          <w:rFonts w:eastAsia="David"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30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244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245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413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2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hyperlink r:id="rId13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מעצר וחיפוש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 [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1969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4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32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5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</w:rPr>
          <w:t>39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u w:val="none"/>
        </w:rPr>
      </w:pPr>
      <w:r>
        <w:rPr>
          <w:rFonts w:eastAsia="David"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  <w:bookmarkStart w:id="4" w:name="Links_End"/>
      <w:bookmarkStart w:id="5" w:name="LawTable_End"/>
      <w:bookmarkStart w:id="6" w:name="Links_End"/>
      <w:bookmarkStart w:id="7" w:name="LawTable_End"/>
      <w:bookmarkEnd w:id="6"/>
      <w:bookmarkEnd w:id="7"/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  <w:u w:val="none"/>
        </w:rPr>
      </w:pPr>
      <w:r>
        <w:rPr>
          <w:rFonts w:eastAsia="David" w:cs="Arial" w:ascii="Arial" w:hAnsi="Arial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8" w:name="PsakDin"/>
      <w:bookmarkEnd w:id="8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sz w:val="28"/>
          <w:szCs w:val="28"/>
          <w:u w:val="none"/>
        </w:rPr>
      </w:pPr>
      <w:r>
        <w:rPr>
          <w:rFonts w:eastAsia="David" w:cs="David" w:ascii="David" w:hAnsi="David"/>
          <w:sz w:val="28"/>
          <w:szCs w:val="28"/>
          <w:u w:val="non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באסל מוקטרן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ואיסלאם מוקטרן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שהינם אחים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הודאתם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אישום המכיל תשעה עשר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ומייחס להם את העבירות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תשעה עשר עבירות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שמונה עשר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חמש עבירות של 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ששה עשר עבירות של</w:t>
      </w:r>
      <w:r>
        <w:rPr>
          <w:rFonts w:ascii="Arial" w:hAnsi="Arial" w:cs="Arial"/>
          <w:b/>
          <w:b/>
          <w:bCs/>
          <w:rtl w:val="true"/>
        </w:rPr>
        <w:t xml:space="preserve"> שידול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23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 </w:t>
      </w:r>
      <w:r>
        <w:rPr>
          <w:rFonts w:cs="Arial" w:ascii="Arial" w:hAnsi="Arial"/>
          <w:rtl w:val="true"/>
        </w:rPr>
        <w:t xml:space="preserve">+ </w:t>
      </w:r>
      <w:hyperlink r:id="rId24">
        <w:r>
          <w:rPr>
            <w:rStyle w:val="Hyperlink"/>
            <w:rFonts w:cs="Arial" w:ascii="Arial" w:hAnsi="Arial"/>
          </w:rPr>
          <w:t>30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תשעה עשר</w:t>
      </w:r>
      <w:r>
        <w:rPr>
          <w:rFonts w:ascii="Arial" w:hAnsi="Arial" w:cs="Arial"/>
          <w:b/>
          <w:b/>
          <w:bCs/>
          <w:rtl w:val="true"/>
        </w:rPr>
        <w:t xml:space="preserve"> 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2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תשעה עשר</w:t>
      </w:r>
      <w:r>
        <w:rPr>
          <w:rFonts w:ascii="Arial" w:hAnsi="Arial" w:cs="Arial"/>
          <w:b/>
          <w:b/>
          <w:bCs/>
          <w:rtl w:val="true"/>
        </w:rPr>
        <w:t xml:space="preserve"> 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</w:t>
      </w:r>
      <w:r>
        <w:rPr>
          <w:rFonts w:ascii="Arial" w:hAnsi="Arial" w:cs="Arial"/>
          <w:b/>
          <w:b/>
          <w:bCs/>
          <w:rtl w:val="true"/>
        </w:rPr>
        <w:t xml:space="preserve"> 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החזקת נכס החשוד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ייצוא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ייבוא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עסקה אחרת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החזקת נכס החשוד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+ </w:t>
      </w:r>
      <w:hyperlink r:id="rId34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עבירות של </w:t>
      </w:r>
      <w:r>
        <w:rPr>
          <w:rFonts w:ascii="Arial" w:hAnsi="Arial" w:cs="Arial"/>
          <w:b/>
          <w:b/>
          <w:bCs/>
          <w:rtl w:val="true"/>
        </w:rPr>
        <w:t>הדחה בחקירה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ייבוא ייצוא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37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 ייבוא ייצוא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8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39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שמונה עבירות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שמונה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2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43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שתי עבירות של</w:t>
      </w:r>
      <w:r>
        <w:rPr>
          <w:rFonts w:ascii="Arial" w:hAnsi="Arial" w:cs="Arial"/>
          <w:b/>
          <w:b/>
          <w:bCs/>
          <w:rtl w:val="true"/>
        </w:rPr>
        <w:t xml:space="preserve"> 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 ועסקה אחרת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4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45"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 עבירות של</w:t>
      </w:r>
      <w:r>
        <w:rPr>
          <w:rFonts w:ascii="Arial" w:hAnsi="Arial" w:cs="Arial"/>
          <w:b/>
          <w:b/>
          <w:bCs/>
          <w:rtl w:val="true"/>
        </w:rPr>
        <w:t xml:space="preserve"> שידול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47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 </w:t>
      </w:r>
      <w:r>
        <w:rPr>
          <w:rFonts w:cs="Arial" w:ascii="Arial" w:hAnsi="Arial"/>
          <w:rtl w:val="true"/>
        </w:rPr>
        <w:t xml:space="preserve">+ </w:t>
      </w:r>
      <w:hyperlink r:id="rId48">
        <w:r>
          <w:rPr>
            <w:rStyle w:val="Hyperlink"/>
            <w:rFonts w:cs="Arial" w:ascii="Arial" w:hAnsi="Arial"/>
            <w:color w:val="0000FF"/>
            <w:u w:val="single"/>
          </w:rPr>
          <w:t>30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שמונה</w:t>
      </w:r>
      <w:r>
        <w:rPr>
          <w:rFonts w:ascii="Arial" w:hAnsi="Arial" w:cs="Arial"/>
          <w:b/>
          <w:b/>
          <w:bCs/>
          <w:rtl w:val="true"/>
        </w:rPr>
        <w:t xml:space="preserve"> 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שמונה</w:t>
      </w:r>
      <w:r>
        <w:rPr>
          <w:rFonts w:ascii="Arial" w:hAnsi="Arial" w:cs="Arial"/>
          <w:b/>
          <w:b/>
          <w:bCs/>
          <w:rtl w:val="true"/>
        </w:rPr>
        <w:t xml:space="preserve"> 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>מספר מקרים רב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ועבירה של</w:t>
      </w:r>
      <w:r>
        <w:rPr>
          <w:rFonts w:ascii="Arial" w:hAnsi="Arial" w:cs="Arial"/>
          <w:b/>
          <w:b/>
          <w:bCs/>
          <w:rtl w:val="true"/>
        </w:rPr>
        <w:t xml:space="preserve"> החזקת נכס החשוד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+ </w:t>
      </w:r>
      <w:hyperlink r:id="rId55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>כתב האישום מורכב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המפרטים פרשה מסועפת של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כשחלקו של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יותר מחלקו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האיש הדומיננטי בכל הפרשה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בינם לבין עצמם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ובינם לבין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 יחדיו לביצוע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הנאשים במרכזו של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והובלת נשק לאחרים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הנאשמים פעלו באופן היררכי כך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ביצע את הוראותיו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וביצע בשליחותו פעולות הקשורות לעבירות הנשק ולהוצאתן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יצר קשר עם סוחרי נשק אחרים שפעלו במקביל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אף בעל מומחיות וידע בתיקון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ושימש מומחה לכל בעיה טכנית או תקלה אליו הגיעו אחרים לשם תיקון כלי נשק מסוגים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מימוש מטרות הארגון וקידומו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הנאשמים בשיטתיות ונקטו אמצעי זהירות מובהקים בביצוע עבירות הנשק 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את הקשר לביצוע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כלי הנשק במקומות מסתור מחוץ לבתיהם ולעתים מסירת כלי הנשק והתחמושת להחזקה ומשמורת עבורם אצל החיילים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 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מקומות המפגש והחזקת כלי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המאשימה להטיל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שמונה 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שש 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בנוסף לעונשים נלווים 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וחילוט רכבים שנתפסו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יטען לעונש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ביקש לצרף תיק פלילי נוסף שהוגש נגדו לבית המשפט השלום בנצרת </w:t>
      </w:r>
      <w:r>
        <w:rPr>
          <w:rFonts w:cs="Arial" w:ascii="Arial" w:hAnsi="Arial"/>
          <w:rtl w:val="true"/>
        </w:rPr>
        <w:t>(</w:t>
      </w:r>
      <w:hyperlink r:id="rId56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27227-01-11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במסגרת פרשת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הורשע בעבירה של קשר לפשע ועוון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 ונשיאה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קבלת נכסים שהושגו בעוון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 ועבירה של הסתייעות ברכב לביצוע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עמדה על החומרה היתרה במעשיהם של הנאשמים כמפורט בהרחבה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השיטה ומרכזיות הנאשמים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הדרך המתוחכמת אותה הנהיגו הנאשמים בניהול הארגון המעידה על המסוכנות של הנאשמים ועל מידת השפעתם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מעורבותם ועוצמתם בארגון ומחוצה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הוסיפה וטענה כי בחלק מהאישומים קשרו הנאשמים קשר עם סוחר נשק בשטחים לשם מכירת והעברת כלי נשק לשטחים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וייבוא של כלי נשק מהשטחים לתוך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המהווה נסיבה חמורה ביותר המחייבת ביטוי עונשי הולם וראוי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חומרה יתרה נלמדת מהעובדה  כי כלי הנשק שעברו תחת ידי הנאשמים לא נתפסו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עמדה על מדיניות הענישה המחמירה בכל הנוגע לעבירות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והפנתה לפסיקה רלוונטית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המאשימה עתרה להטיל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שלא יפחת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וחצי שנות מאסר בפועל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למאסר מותנה ממושך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משמעותי ביותר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כשרות אלפי שקלים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חילוט הנכסים והרכוש כנטען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ופסילה מלהשתמש או לנהוג ברכב בפועל ועל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טען כי במקרה הנדון יש לייחס חשיבות יתרה להודאתם של הנאשמים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לחרטה אשר הביעו הנאשמים ולהיעדר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ביקש לא למצות את הדין עם הנאשמים ולהסתפק בתקופת מעצרם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לדחות את בקשת המאשימה באשר לעונש המבוקש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מבית המשפט לאמץ את הרף התחתון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ויגזור אף פחות מחצי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הביעו חרטה בגין מעשיהם וביקשו להקל בעונשם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מעשיהם של הנאשמים חמורים לאין שיעור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שהמעשים בוצעו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בתעוזה רבה וללא יראה מפני החוק והדין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המקרה הנדון הינו יוצא דופן מכמה היבטים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מהמספר העצום של העבירות המיוחסות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הנשק הנדונים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התקופה במהלכה בוצעו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הזיקה הארגונית המיוחסת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מבחינת מהות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טיבן והאופן בו הוצאו אל הפועל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המסוכנות הנשקפת משני הנאשמים חדה כתער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הנהיגו ועמדו בראשו של ארגון אשר עסק באופן היררכי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אינטנסיבי ויום יומי בתחום הסחר הבלתי חוקי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מכיל לא פחות מתשעה עשר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ומפרט את הסחר בכלי נשק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מכתב האישום ניתן ללמוד על התחכום מצידם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חלקם הדומיננטי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שיש להבחין עניינם משאר החיילים והשותפים בפרשת הסחר</w:t>
      </w:r>
      <w:r>
        <w:rPr>
          <w:rFonts w:cs="Arial" w:ascii="Arial" w:hAnsi="Arial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שני הנאשמים הנהיגו ארגון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העוסק בסחר בנשקים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הפעילו אנשים שהיו תחת מרותם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פיקחו על החיילים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במישרין והן בעקיפין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וביצעו באמצעותם עבירות בנשק במספר רב של הזדמנויות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בהן הורשעו הנאשמים יש משום היבטים ברורים של ארגון הפועל מתוך מטרה לבצע פשיעה וליצור לעצמו רווח באמצעות אותה פשיעה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פעילויותיהם המסועפות והיזומות של הנאשמים כמפורט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מצביעות על מסוכנות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ואלמלא סוכלה פעילותם זו אשר השתרעה על פני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היה הדבר להביא לתוצאות הרון אסון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למרבה הצער עבירות בנשק הפכו למכת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המשתמע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באזורינו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שהינן כאמור נפוצות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מסכנות את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ובהיותן כאלה שומה על בתי המשפט להילחם בתופעה זו מלחמת חורמה ללא רחם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כשאחת הדרכים לכך הינה ענישה מכאיבה והולמת הכוללת הרחקת אנשים כדוגמת הנאשמים מהחברה לתקופות ממושכות בנוסף לפגעה בכיסם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יבינו שמעשים אלה אינם משתלמים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ושיש מישהו עומד במשמר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בית המשפט להמשיך ולחתור אל יעדו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הלא הוא הדברת התופעה של העבירות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ראה </w:t>
      </w:r>
      <w:hyperlink r:id="rId5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11448/03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דיב גרבאן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2911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28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העבירות של סחר בנשק הן עבירות חמורות מאוד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ראה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513/99</w:t>
      </w:r>
      <w:r>
        <w:rPr>
          <w:b/>
          <w:bCs/>
        </w:rPr>
        <w:t>,4477/98,4609/98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 טאהא נגד מדינת 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על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716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כלי הנשק הנסחרים עלולים לעבור מיד 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 לא נרכשו באופן חוקי וחזקה שהם לא נועדו לשמש מטרה חוקית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כשהם נמצאים בידי אדם שאינו עבריין טמונה בהם סכנת 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 וחומר אם הם מתגלגלים ומגיעים לידי גורמים עוינים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ועלינו לקחת בחשבון אפשרות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 מפניה ולמנוע את הסכנה המחמירה והולכת הצפויה מן הסחר 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 שומה על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להתריע כנגד סכנה זאת ולפעול כנדרש כדי להרתיע מפני עבירה זאת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start"/>
        <w:rPr>
          <w:rFonts w:ascii="Arial" w:hAnsi="Arial" w:cs="Times New Roman"/>
          <w:b/>
          <w:bCs/>
        </w:rPr>
      </w:pPr>
      <w:r>
        <w:rPr>
          <w:rFonts w:cs="Times New Roman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ראה </w:t>
      </w:r>
      <w:hyperlink r:id="rId5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4050/08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נתנאל ליבוביץ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28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וככלל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הכרוכות באלימות או בהפחדה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נועד לירות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וטבעו גם שבשעת 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צורך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הסובייקטיבי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זדוני ומורשע ככל שיהיה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עלולה האצבי להיות קלה על ההדק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חומרה יתרה ניתן ללמוד מהקשר שקשר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סוחרי נשק בשטחים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שמחייב תגובה עונשית חמורה במיוחד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כמפורט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עם סוחר נשק בשם 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השטחים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להעביר לו נשק ולקבל ממנו נשק בהתאם לפרטי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דהמשה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כפר כנא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 כחייל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הופקד להוביל נשק מהנאשם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לחוסאם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ולקבל ממנו תחמושת ונשק עבור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כשעסקינן בסחר בנשק עם תושב הרשות הפלסטינאית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הדגיש כי יש לראות בכך משום נסיבה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וכפועל יוצא מתבקשת החמרה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ראה </w:t>
      </w:r>
      <w:hyperlink r:id="rId5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8012/04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 מתאני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1462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28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מעשיו של המערער הינם בעלי פן מיוחד של חומרה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 העסקאות נעשו שם תושבים של הרשות הפלסטינאית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אומנם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לדעת אם כלי הנשק אותם מכר המערער היו מיועדים לשמש בפעולות טרור נגד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עצם עשיית עסקה בנשק עם תושב השטחים מחייבת תגובה עונשית חמורה במיוחד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 צורך להרבות מילים באשר לאופי המסוכן של סחר בנשק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 לדעת לאן מתגלגלים כלי הנשק וברור כי אין הם מיודעים לשמש למטרות כשרות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ואם לא די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לא ברור מה עלה בגורלם של הנשקים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שאין לדעת לאן בסופו של דבר התגלגל הנשק ואיזה שימוש נעשה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ייעשה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לשלול אפשרות הגעתו לידיים עויינות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בבואי לגזור את דינם של הנאשמים יש לתת את הדעת על חלקו של כל אחד מהנאשמים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עיון בפרטי כתב האישום מלמד שהנאשם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האיש הדומיננטי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שעמד בראש הארגון שעסק בעבירות מסועפות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שניהל את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באמצעות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שימש כיד ימינו בניהול הארגון והפעלתו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אין חולקין כי חלקו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הדומיננטי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זה שהיה נתון למרותו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על פי הנחיותיו ופעל בשליחותו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rtl w:val="true"/>
        </w:rPr>
        <w:tab/>
        <w:t xml:space="preserve"> 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שנעלמה מעיני חומרת מעשי הנאשמים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הודאתם אשר חסכה בזמן שיפוטי יקר ובעיקר חרטתם על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הריני לגזור על כל אחד מהנאשמים את העונשים הבאים</w:t>
      </w:r>
      <w:r>
        <w:rPr>
          <w:rFonts w:cs="Arial" w:ascii="Arial" w:hAnsi="Arial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i/>
          <w:iCs/>
          <w:u w:val="single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למאסר לתקופה של 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פוסל את הנאשם מלקבל או מלהחזיק ברישיון נהיגה לתקופה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וזאת החל מיום שחרורו מהכלא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i/>
          <w:iCs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למאסר לתקופה של 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פוסל את הנאשם מלקבל או מלהחזיק ברישיון נהיגה לתקופה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בפועל וזאת החל מיום שחרורו מהכלא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בקשת החילוט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עתרה להורות על חילוט כלי הרכב 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טרקטורון ורכב שטח תוצרת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פולאריס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שנת ייצור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48-102-73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הטרקטורון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רכב פרטי תוצרת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סקודה</w:t>
      </w:r>
      <w:r>
        <w:rPr>
          <w:rFonts w:cs="Arial" w:ascii="Arial" w:hAnsi="Arial"/>
          <w:rtl w:val="true"/>
        </w:rPr>
        <w:t xml:space="preserve">" 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27-761-10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הסקודה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רכב טנדר משא תוצרת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טויוטה היילקס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שנת ייצור </w:t>
      </w:r>
      <w:r>
        <w:rPr>
          <w:rFonts w:cs="Arial" w:ascii="Arial" w:hAnsi="Arial"/>
        </w:rPr>
        <w:t>1998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82-120-27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הטויוטה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טענה כי כלי הרכב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נתפסו כדין ביום מעצרם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מחומר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הטרקטורון והטויוטה שימשו את הנאשמים בביצוע העבירות בהן 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הסקודה שימשה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 עבירות נשוא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b/>
          <w:b/>
          <w:bCs/>
          <w:rtl w:val="true"/>
        </w:rPr>
        <w:t>לטרקטורון</w:t>
      </w:r>
      <w:r>
        <w:rPr>
          <w:rFonts w:ascii="Arial" w:hAnsi="Arial" w:cs="Arial"/>
          <w:rtl w:val="true"/>
        </w:rPr>
        <w:t xml:space="preserve"> טענה המאשימה כי הוא רשום על שם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הרישום הוא פיקטיבי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ווהלכה למעשה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בעליו האמיתיים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או כך לבית המשפט הסמכות לחלטו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להוכחת טענתה הפנתה המאשימה למשיחות טלפון 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לאחרים מהן ניתן ללמוד כי רישום הבעלות על שם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רישום פיקטיבי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הטרקטורון נרכש בכסף שהינו תולדה של ביצוע העבירות בהן הורשעו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המאשימה כי כעולה מחומר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הטרקטורון נרכש במטרה לבצע את עבירות הסחר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ולהקל על ביצוען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לסקודה</w:t>
      </w:r>
      <w:r>
        <w:rPr>
          <w:rFonts w:ascii="Arial" w:hAnsi="Arial" w:cs="Arial"/>
          <w:rtl w:val="true"/>
        </w:rPr>
        <w:t xml:space="preserve"> 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בהתאם לרישום במשרד הרישוי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הסקודה מצויה בבעלות גיסו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מוחמד 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ברישום פיקטיבי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ולמעשה הרכב הינו בחזקתם ובשימושם התכוף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שהפנתה למסמכים רלוונטיים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כי המדובר ברכב אשר שימש לביצוע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ביום בו נעצר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נהג ברכב הסקודה ונתפס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 xml:space="preserve">לטויוטה </w:t>
      </w:r>
      <w:r>
        <w:rPr>
          <w:rFonts w:ascii="Arial" w:hAnsi="Arial" w:cs="Arial"/>
          <w:rtl w:val="true"/>
        </w:rPr>
        <w:t xml:space="preserve">טענה המאשימה כי הטויוטה רשומה על שם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והייתה ברשותו כל מהלך תקופת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טענה המאשימה כי במהלך תקופת ביצוע העבירות התקיימו שיחות מהן נלמד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אנשיו  עשו שימוש בטויוטה לשם הגשמת ביצוע העבירות  בהן הורשע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התנגדו לחלט את הרכבים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לטרקטורון</w:t>
      </w:r>
      <w:r>
        <w:rPr>
          <w:rFonts w:ascii="Arial" w:hAnsi="Arial" w:cs="Arial"/>
          <w:rtl w:val="true"/>
        </w:rPr>
        <w:t xml:space="preserve"> טענו הנאשמים כי המאשימה לא הביאה כל ראיה כי אכן בוצעו עסקאות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עבירות פליליות בטרקטורון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המאשימה לא הוכיחה שהכסף ששולם תמורת הטרקטורון מקורו בכסף שהושג מעסקאות הנשק בהם מואשם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לסקודה</w:t>
      </w:r>
      <w:r>
        <w:rPr>
          <w:rFonts w:ascii="Arial" w:hAnsi="Arial" w:cs="Arial"/>
          <w:rtl w:val="true"/>
        </w:rPr>
        <w:t xml:space="preserve"> טענו הנאשמים כי הרכב שייך למוחמד 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בעל הרכב אינו צד בהליך הפלילי דנן ואין למאשימה כל זכות לבקש לחילוטו מאחר ואינו רשום על שם מי מהנאשמים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לגפו של עניין טענו הנאשמים כי הסקודה שייך בפועל למחמוד 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יתרה מזו הרכב נרכש על ידי אביו של מוחמד תיים הרבה זמן לפני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עסק בעסקאות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וברור שאין כל קשר בין רכישת הרכב לבין עסקאות הנשק בהם מואשם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לטויוטה</w:t>
      </w:r>
      <w:r>
        <w:rPr>
          <w:rFonts w:ascii="Arial" w:hAnsi="Arial" w:cs="Arial"/>
          <w:rtl w:val="true"/>
        </w:rPr>
        <w:t xml:space="preserve"> טענו הנאשמים כי זה שייך לאביו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 עבד אלטיף מוקטרן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הרכב אומנם נרשם במשרד הרישוי על שמו של הנאשם אך בפועל הוא שייך ובחזקת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ביום רישום הרכב היה זה הנאשם שביצע את הפעולה אך מאחר ובעת הרישום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בחזקתו תעודת הזיהוי של אביו נתבקש הוא לרשום את הרכב על שמו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היה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 הקשר בין רכישת הרכב 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עסקאות הנשק שבוצעו 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המאשימה לא הביאה כל ראיה לכך כי הרכב שייך לנאשם ולכך שבוצעו  בו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 והכרעה בבקשת החילוט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1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סדר הדין הפלילי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מעצר וחיפוש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רשאי שוטר לתפוס חפץ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יש לו יסוד סביר להניח כי באותו חפץ נעברה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עומדים לעבור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שהוא עשוי לשמש ראיה בהליך משפטי בשל עבירה או שניתן כשכר בעד ביצוע עבירה או כאמצעי לביצועה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 xml:space="preserve">ואילו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מפרט את סמכותו של בית המשפט להורות על חילוק חפצים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ובלשון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</w:t>
        </w:r>
      </w:hyperlink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צו חילוט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 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על אף האמור בכל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בנוסף על כל עונש שיטיל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לצוות על חילוט החפץ שנתפס לפי 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או שהגיע לידי המשטרה כאמור בסעיף </w:t>
      </w:r>
      <w:r>
        <w:rPr>
          <w:rFonts w:cs="Arial" w:ascii="Arial" w:hAnsi="Arial"/>
          <w:b/>
          <w:bCs/>
        </w:rPr>
        <w:t>33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דין צו כזה כדין עונש שהוטל על הנאשם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1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ניתן חפץ כשכר בעד ביצוע עבירה או כאמצעי לביצועה ולא חל עליו אחד התנאים האחרים האמור בסעיף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יחולט אלא אם החפץ ניתן מאת בעליו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מאת המחזיק בו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דעתו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כשכר בעד ביצוע העבירה שעליה הורשע הנידון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כאמצעי לביצועה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בעד עבירה אחרת הקשורה בעבירה שבה הורשע הנידון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כאמצעי לביצוע העבירה האחרת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ואין נפקא מינה אם ביצע הנידון את העבירה האחרת ואם לאו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ואף אם לא נתכוון לבצעה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1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צו חילוט לפי סעיף זה יכול שיינתן בין בגזר הדין ובין על פי עתירה מטעם תובע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לטרקטורון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זה רשום על שמו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נספח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לבקשה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השתכנעתי בטענות המאשימה לפיהן הרישום על שמו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הינו פיקטיבי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הבעלות הממשית היא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בהתבסס על שיחות הטלפון שהתנהלו בין הנאשמים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בגוף הבקשה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נספח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לבקשה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 לא הוכח כי הטרקטורון נרכש מכספי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הוכח ברמה הנדרשת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הטרקטורון שימש לביצוע העבירות בהן מואשם הנאשם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שיחה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מעמדה </w:t>
      </w:r>
      <w:r>
        <w:rPr>
          <w:rFonts w:cs="Arial" w:ascii="Arial" w:hAnsi="Arial"/>
        </w:rPr>
        <w:t>50008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נספח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לבקשה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שאל רביע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מדוע הוא קנה טרקטורון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השיב שהוא ימכור את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ותוך יומיים שלושה הוא יחזיר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הובאו ראיות ממשיות ואובייקטיביות המעידות על אופי התשלום ועל היותו של זה מכספי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אומנם משיחה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6.12.2010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נשמע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אומר לרביע כי טרקטורון עדיף על מכונית ושהפסיק להאמין במכוניות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ומשיחה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6929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17.12.2010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נשמע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אומר לאחר בשם יוסף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לפני יומיים כמעט נתפס ובזכות הטרקטורון הצליח לשנות את הדרך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הריני לקבוע כי אין באמור לעיל כדי להוכיח כי הטרקטורון אכן נרכש מכספי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ואין להוכיח כי הטרקטורון שימש לביצוע העבירות בהן מואשם הנאשם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בקשת החילוט נדחית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לסקודה</w:t>
      </w:r>
      <w:r>
        <w:rPr>
          <w:rFonts w:ascii="Arial" w:hAnsi="Arial" w:cs="Arial"/>
          <w:rtl w:val="true"/>
        </w:rPr>
        <w:t xml:space="preserve"> הרי זו רשומה על שם גיסו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מוחמד תיים שאף הוא נאשם בפרשה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מחומר החקירה המונח בפניי השתכנעתי כי הרישום על שמו של תיים מוחמד היה פיקטיבי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הסקודה הייתה בחזקתם ובשימושם התכוף של 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אפנה לנספח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לבקשה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העובדה כי ביטוח הרכב הוא על שמו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נמצאו קבלות על תיקון הרכב על שמו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או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לקבוע כי רכב הסקודה שימש לביצוע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ביום מעצר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נתפס נוהג בסקודה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ונתפס גם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בהתאם לתיק המצורף בו הודה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hyperlink r:id="rId64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27227-01-11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בעירות הנשק באמצעות רכב הסקודה כמפורט בעובדות כתב האישום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בו כאמור הודה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לסמכות הנתונה לבית המשפט להורות על חילוט רכב ששימש לביצוע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והואיל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הסתייע בסקודה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מורה על חילוט הסקודה לטובת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</w:t>
      </w:r>
      <w:r>
        <w:rPr>
          <w:rFonts w:ascii="Arial" w:hAnsi="Arial" w:cs="Arial"/>
          <w:b/>
          <w:b/>
          <w:bCs/>
          <w:rtl w:val="true"/>
        </w:rPr>
        <w:t>לטויוטה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הרכב רשום על שם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איני מקבל את טענותיהם של הנאשמים לפיהן הרכב שייך בפועל לאביו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לא הוכח בפניי כי הרכב אכן שימש לביצוע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אינני מורה על חילוטו של רכב הטויוטה והרכב יוחזר לבעליו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#8#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#9#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5"/>
      <w:footerReference w:type="default" r:id="rId6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32839-02-11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באסל מוקטרן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hebrew1"/>
      <w:lvlText w:val="(%1)"/>
      <w:lvlJc w:val="end"/>
      <w:pPr>
        <w:tabs>
          <w:tab w:val="num" w:pos="1140"/>
        </w:tabs>
        <w:ind w:start="114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0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45" TargetMode="External"/><Relationship Id="rId11" Type="http://schemas.openxmlformats.org/officeDocument/2006/relationships/hyperlink" Target="http://www.nevo.co.il/law/70301/413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.a" TargetMode="External"/><Relationship Id="rId15" Type="http://schemas.openxmlformats.org/officeDocument/2006/relationships/hyperlink" Target="http://www.nevo.co.il/law/74918/3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0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/413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413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245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144.b2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law/70301/30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29" TargetMode="External"/><Relationship Id="rId53" Type="http://schemas.openxmlformats.org/officeDocument/2006/relationships/hyperlink" Target="http://www.nevo.co.il/law/70301/244" TargetMode="External"/><Relationship Id="rId54" Type="http://schemas.openxmlformats.org/officeDocument/2006/relationships/hyperlink" Target="http://www.nevo.co.il/law/70301/413" TargetMode="External"/><Relationship Id="rId55" Type="http://schemas.openxmlformats.org/officeDocument/2006/relationships/hyperlink" Target="http://www.nevo.co.il/law/70301/29" TargetMode="External"/><Relationship Id="rId56" Type="http://schemas.openxmlformats.org/officeDocument/2006/relationships/hyperlink" Target="http://www.nevo.co.il/case/2786622" TargetMode="External"/><Relationship Id="rId57" Type="http://schemas.openxmlformats.org/officeDocument/2006/relationships/hyperlink" Target="http://www.nevo.co.il/case/6180713" TargetMode="External"/><Relationship Id="rId58" Type="http://schemas.openxmlformats.org/officeDocument/2006/relationships/hyperlink" Target="http://www.nevo.co.il/case/5891607" TargetMode="External"/><Relationship Id="rId59" Type="http://schemas.openxmlformats.org/officeDocument/2006/relationships/hyperlink" Target="http://www.nevo.co.il/case/6118595" TargetMode="External"/><Relationship Id="rId60" Type="http://schemas.openxmlformats.org/officeDocument/2006/relationships/hyperlink" Target="http://www.nevo.co.il/law/74918/32.a" TargetMode="External"/><Relationship Id="rId61" Type="http://schemas.openxmlformats.org/officeDocument/2006/relationships/hyperlink" Target="http://www.nevo.co.il/law/74918" TargetMode="External"/><Relationship Id="rId62" Type="http://schemas.openxmlformats.org/officeDocument/2006/relationships/hyperlink" Target="http://www.nevo.co.il/law/74918/39" TargetMode="External"/><Relationship Id="rId63" Type="http://schemas.openxmlformats.org/officeDocument/2006/relationships/hyperlink" Target="http://www.nevo.co.il/law/74918/39" TargetMode="External"/><Relationship Id="rId64" Type="http://schemas.openxmlformats.org/officeDocument/2006/relationships/hyperlink" Target="http://www.nevo.co.il/case/2786622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2016-05-08T08:15:00Z</dcterms:created>
  <dc:creator> </dc:creator>
  <dc:description/>
  <cp:keywords/>
  <dc:language>en-IL</dc:language>
  <cp:lastModifiedBy>yafit</cp:lastModifiedBy>
  <dcterms:modified xsi:type="dcterms:W3CDTF">2016-05-08T08:15:00Z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באסל מוקטרן;איסלאם מוקטרן</vt:lpwstr>
  </property>
  <property fmtid="{D5CDD505-2E9C-101B-9397-08002B2CF9AE}" pid="4" name="CASENOTES1">
    <vt:lpwstr>ProcID=133;209&amp;PartA=513&amp;PartC=99</vt:lpwstr>
  </property>
  <property fmtid="{D5CDD505-2E9C-101B-9397-08002B2CF9AE}" pid="5" name="CASESLISTTMP1">
    <vt:lpwstr>2872442:16;5594979:10;2786622:2;6180713;5891607;6118595</vt:lpwstr>
  </property>
  <property fmtid="{D5CDD505-2E9C-101B-9397-08002B2CF9AE}" pid="6" name="CITY">
    <vt:lpwstr>נצ'</vt:lpwstr>
  </property>
  <property fmtid="{D5CDD505-2E9C-101B-9397-08002B2CF9AE}" pid="7" name="DATE">
    <vt:lpwstr>20110728</vt:lpwstr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70301/499.a.1:2;144.b2:7;029:9;025:4;144.a:4;144.b:4;030:2;244:2;413:3;245</vt:lpwstr>
  </property>
  <property fmtid="{D5CDD505-2E9C-101B-9397-08002B2CF9AE}" pid="11" name="LAWLISTTMP2">
    <vt:lpwstr>74918/032.a;039:2</vt:lpwstr>
  </property>
  <property fmtid="{D5CDD505-2E9C-101B-9397-08002B2CF9AE}" pid="12" name="LAWYER">
    <vt:lpwstr>מורן רייצ'ס;כנעאנה</vt:lpwstr>
  </property>
  <property fmtid="{D5CDD505-2E9C-101B-9397-08002B2CF9AE}" pid="13" name="LINKK1">
    <vt:lpwstr>http://www.nevo.co.il/Psika_word/mechozi/ME-11-02-32839-646.doc;להחלטה במחוזי (17-02-2011)#תפ 32839-02-11 מדינת ישראל נ' באסל מוקטרן (עציר)#שופטים: תאופיק כתילי#עו''ד: מורן רייצ'ס, כנעאנה</vt:lpwstr>
  </property>
  <property fmtid="{D5CDD505-2E9C-101B-9397-08002B2CF9AE}" pid="14" name="LINKK10">
    <vt:lpwstr>http://www.nevo.co.il/Psika_word/elyon/11065420-d01.doc;להחלטה בעליון (10-10-2011)#עפ 6542/11 באסל מוקטראן נ' מדינת ישראל#שופטים: גיא שני</vt:lpwstr>
  </property>
  <property fmtid="{D5CDD505-2E9C-101B-9397-08002B2CF9AE}" pid="15" name="LINKK11">
    <vt:lpwstr>http://www.nevo.co.il/Psika_word/elyon/11065420-d02.doc;להחלטה בעליון (05-12-2011)#עפ 6542/11 באסל מוקטראן נ' מדינת ישראל#שופטים: גיא שני</vt:lpwstr>
  </property>
  <property fmtid="{D5CDD505-2E9C-101B-9397-08002B2CF9AE}" pid="16" name="LINKK12">
    <vt:lpwstr>http://www.nevo.co.il/Psika_word/mechozi/ME-11-02-32839-646.doc;להחלטה במחוזי (17-02-2011)#תפ 32839-02-11 מדינת ישראל נ' באסל מוקטרן (עציר)#שופטים: תאופיק כתילי#עו''ד: מורן רייצ'ס, כנעאנה</vt:lpwstr>
  </property>
  <property fmtid="{D5CDD505-2E9C-101B-9397-08002B2CF9AE}" pid="17" name="LINKK2">
    <vt:lpwstr>http://www.nevo.co.il/Psika_word/mechozi/ME-11-02-32839-196.doc;להחלטה במחוזי (13-03-2011)#תפ 32839-02-11 מדינת ישראל נ' באסל מוקטרן (עציר)#שופטים: תאופיק כתילי</vt:lpwstr>
  </property>
  <property fmtid="{D5CDD505-2E9C-101B-9397-08002B2CF9AE}" pid="18" name="LINKK3">
    <vt:lpwstr>http://www.nevo.co.il/Psika_word/mechozi/ME-11-02-32839-689.doc;להחלטה במחוזי (11-04-2011)#תפ 32839-02-11 מדינת ישראל נ' באסל מוקטרן#שופטים: תאופיק כתילי#עו''ד: עידית רייכרט, לידאוי</vt:lpwstr>
  </property>
  <property fmtid="{D5CDD505-2E9C-101B-9397-08002B2CF9AE}" pid="19" name="LINKK4">
    <vt:lpwstr>http://www.nevo.co.il/Psika_word/mechozi/ME-11-02-32839-6.doc;לגזר-דין במחוזי (28-07-2011)#תפ 32839-02-11 מדינת ישראל נ' באסל מוקטרן#שופטים: תאופיק כתילי#עו''ד: מורן רייצ'ס, כנעאנה</vt:lpwstr>
  </property>
  <property fmtid="{D5CDD505-2E9C-101B-9397-08002B2CF9AE}" pid="20" name="LINKK5">
    <vt:lpwstr>http://www.nevo.co.il/Psika_word/elyon/11065420-d01.doc;להחלטה בעליון (10-10-2011)#עפ 6542/11 באסל מוקטראן נ' מדינת ישראל#שופטים: גיא שני</vt:lpwstr>
  </property>
  <property fmtid="{D5CDD505-2E9C-101B-9397-08002B2CF9AE}" pid="21" name="LINKK6">
    <vt:lpwstr>http://www.nevo.co.il/Psika_word/mechozi/ME-11-02-32839-646.doc;להחלטה במחוזי (17-02-2011)#תפ 32839-02-11 מדינת ישראל נ' באסל מוקטרן (עציר)#שופטים: תאופיק כתילי#עו''ד: מורן רייצ'ס, כנעאנה</vt:lpwstr>
  </property>
  <property fmtid="{D5CDD505-2E9C-101B-9397-08002B2CF9AE}" pid="22" name="LINKK7">
    <vt:lpwstr>http://www.nevo.co.il/Psika_word/mechozi/ME-11-02-32839-196.doc;להחלטה במחוזי (13-03-2011)#תפ 32839-02-11 מדינת ישראל נ' באסל מוקטרן (עציר)#שופטים: תאופיק כתילי</vt:lpwstr>
  </property>
  <property fmtid="{D5CDD505-2E9C-101B-9397-08002B2CF9AE}" pid="23" name="LINKK8">
    <vt:lpwstr>http://www.nevo.co.il/Psika_word/mechozi/ME-11-02-32839-689.doc;להחלטה במחוזי (11-04-2011)#תפ 32839-02-11 מדינת ישראל נ' באסל מוקטרן#שופטים: תאופיק כתילי#עו''ד: עידית רייכרט, לידאוי</vt:lpwstr>
  </property>
  <property fmtid="{D5CDD505-2E9C-101B-9397-08002B2CF9AE}" pid="24" name="LINKK9">
    <vt:lpwstr>http://www.nevo.co.il/Psika_word/mechozi/ME-11-02-32839-6.doc;לגזר-דין במחוזי (28-07-2011)#תפ 32839-02-11 מדינת ישראל נ' באסל מוקטרן#שופטים: תאופיק כתילי#עו''ד: מורן רייצ'ס, כנעאנה</vt:lpwstr>
  </property>
  <property fmtid="{D5CDD505-2E9C-101B-9397-08002B2CF9AE}" pid="25" name="NEWPARTA">
    <vt:lpwstr>32839</vt:lpwstr>
  </property>
  <property fmtid="{D5CDD505-2E9C-101B-9397-08002B2CF9AE}" pid="26" name="NEWPARTB">
    <vt:lpwstr>02</vt:lpwstr>
  </property>
  <property fmtid="{D5CDD505-2E9C-101B-9397-08002B2CF9AE}" pid="27" name="NEWPARTC">
    <vt:lpwstr>11</vt:lpwstr>
  </property>
  <property fmtid="{D5CDD505-2E9C-101B-9397-08002B2CF9AE}" pid="28" name="NEWPROC">
    <vt:lpwstr>תפ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390020110728</vt:lpwstr>
  </property>
  <property fmtid="{D5CDD505-2E9C-101B-9397-08002B2CF9AE}" pid="32" name="TYPE_N_DATE">
    <vt:lpwstr>39020110728</vt:lpwstr>
  </property>
  <property fmtid="{D5CDD505-2E9C-101B-9397-08002B2CF9AE}" pid="33" name="WORDNUMPAGES">
    <vt:lpwstr>10</vt:lpwstr>
  </property>
</Properties>
</file>