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3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37"/>
        <w:gridCol w:w="3219"/>
        <w:gridCol w:w="802"/>
        <w:gridCol w:w="3663"/>
        <w:gridCol w:w="213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21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color w:val="000080"/>
              </w:rPr>
            </w:pPr>
            <w:r>
              <w:rPr>
                <w:rFonts w:cs="David" w:ascii="David" w:hAnsi="David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32882-09-21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ואדי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2024-10-21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אבו ואדי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1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103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יואל עדן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3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חיים שוייצר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פמ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3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3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מאלק אבו ואדי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)  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דון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מגדי אבו ואדי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שני דריי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 xml:space="preserve">לנאשם </w:t>
      </w:r>
      <w:r>
        <w:rPr>
          <w:rFonts w:cs="David" w:ascii="David" w:hAnsi="David"/>
          <w:b/>
          <w:bCs/>
          <w:sz w:val="32"/>
          <w:szCs w:val="32"/>
          <w:u w:val="single"/>
        </w:rPr>
        <w:t>2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האישום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והסדר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על פי הודאתו בכתב אישום 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טיעון</w:t>
      </w:r>
      <w:r>
        <w:rPr>
          <w:rFonts w:ascii="Calibri" w:hAnsi="Calibri" w:cs="Calibri"/>
          <w:rtl w:val="true"/>
        </w:rPr>
        <w:t xml:space="preserve"> בעבירות </w:t>
      </w:r>
      <w:r>
        <w:rPr>
          <w:rFonts w:ascii="David" w:hAnsi="David"/>
          <w:rtl w:val="true"/>
        </w:rPr>
        <w:t xml:space="preserve">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וירי מנשק חם לפי </w:t>
      </w:r>
      <w:hyperlink r:id="rId1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הנאשמים שהם 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י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יו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1995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("</w:t>
      </w:r>
      <w:r>
        <w:rPr>
          <w:rFonts w:ascii="David" w:hAnsi="David"/>
          <w:b/>
          <w:b/>
          <w:bCs/>
          <w:rtl w:val="true"/>
        </w:rPr>
        <w:t>יו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."),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1987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("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וארבעתם יחד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המתלוננים</w:t>
      </w:r>
      <w:r>
        <w:rPr>
          <w:rFonts w:cs="David" w:ascii="David" w:hAnsi="David"/>
          <w:b/>
          <w:bCs/>
          <w:rtl w:val="true"/>
        </w:rPr>
        <w:t xml:space="preserve">") </w:t>
      </w:r>
      <w:r>
        <w:rPr>
          <w:rFonts w:ascii="David" w:hAnsi="David"/>
          <w:rtl w:val="true"/>
        </w:rPr>
        <w:t>יש היכרות מוקדמת לאירוע המתואר בכתב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משפחת אבו ואדי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 משתייכים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משפחתם של המתלוננים היה קיים סכסוך על רקע שאינו ידוע במדויק למאשימה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הסכסוך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במועדים הרלוונטיים לכתב האישום המשפחות המסוכסכות התגוררו בסמיכות אחת לשניה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פזורה</w:t>
      </w:r>
      <w:r>
        <w:rPr>
          <w:rFonts w:cs="David" w:ascii="David" w:hAnsi="David"/>
          <w:rtl w:val="true"/>
        </w:rPr>
        <w:t>"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הפזורה</w:t>
      </w:r>
      <w:r>
        <w:rPr>
          <w:rFonts w:cs="David" w:ascii="David" w:hAnsi="David"/>
          <w:b/>
          <w:bCs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על פי האישום הראשון המיוחס לנאשם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בלבד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רקע הסכסוך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בתאריך ובנסיבות שאינם ידועים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לתאריך </w:t>
      </w:r>
      <w:r>
        <w:rPr>
          <w:rFonts w:cs="David" w:ascii="David" w:hAnsi="David"/>
        </w:rPr>
        <w:t>10.9.21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15:30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הוצב מחסום אבנים וצמיגים על אחד משבילי העפר בפזורה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באפן שחסם מעברם של כלי רכב של בני משפחת המתלוננים לשטח הסמוך למתחם מגוריהם של בני משפחת אבו ואדי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10.9.21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15:30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המתלוננים נסעו ברכב מסוג טויוטה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בשביל העפר בשטח הפזורה ועצרו במחסום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ויו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יצאו מהרכב והחלו לפרק את המחסום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ואדם נוסף שזהותו אינה ידועה במדויק למאשימה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האדם הנוסף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עמדו מחוץ למתחם הבתים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משמאל לשביל העפר במרחק מה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כשכל אחד מהם מחזיק בנשק ארוך הדומה לרובה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ליד הנאשם והאדם הנוסף עמדו אנשים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קטינים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שזהותם אינה ידועה למאשימה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במעמד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אמר למתלוננים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אף אחד לא ירים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 שירים אבנים אני יורה בו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 מילים דומות לאלה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יו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והמתלונן המשיכו במעשיהם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כיוון את הנשק כלפי מעלה וירה מספר יריות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האדם הנוסף כיוון את הנשק כלפי המתלוננים וירה לעברם מספר פעמים בכוונה להטיל בהם נכות או מום או לגרום להם חבלה חמורה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מהירי של האדם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המתלונן נפצע באזנו השמאלית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לדמם וצעק כי הוא נפגע מהירי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ויו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מיהרו להיכנס לתוך הרכב והמתלוננים נמלטו ברכב מהמקום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המתלונן הובא על ידי יו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לטיפול רפואי במרפאה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המתלונן הועבר באמבולנס לטיפול במרכז הרפואי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סורוקה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שם נמצא כי המתלונן סובל מלסרציה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שיסוף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על אפרכסת שמאל וקרע של הסחוס באוזנו אשר טופלו באמצעות תפירה וחבישה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 בנשק בלא רשות על פי דין להחזקתו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מנשק חם באזור מגורים או במקום אחר שיש בו כדי לסכן חיי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הצדדים הגיעו להסדר טיעון לפיו </w:t>
      </w:r>
      <w:r>
        <w:rPr>
          <w:rFonts w:ascii="David" w:hAnsi="David"/>
          <w:rtl w:val="true"/>
        </w:rPr>
        <w:t>שני הנאשמים יחזרו בהם מכפירתם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יודו בכתב האישום המתוקן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כא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ויורשעו בעבירות המפורטות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לנאשם אין הסכמה עונשית והצדדים טענו לעונש באופן חופשי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בכתב האישום המתוקן יוחסה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של שיבוש מהלכי משפט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להסכמה עונשית בין הצדדים נגזר עליו מאסר בפועל למשך שמונה חודשים ומחצה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הראיות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מטעם המאשימה הוגש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רישום פלילי של הנאשם הכולל עבירות איומים והפרעת שוטר בעת מילוי תפקידו מ –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הנאשם לא הוגשו ראיות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תסקירי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שירות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המבחן</w:t>
      </w:r>
    </w:p>
    <w:p>
      <w:pPr>
        <w:pStyle w:val="Normal"/>
        <w:spacing w:lineRule="auto" w:line="360" w:before="0" w:after="160"/>
        <w:ind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תסקירי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צנעת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הפרט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פי התסקיר הראשון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 הנאשם 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 עם אמו 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מקצבת המוסד לביטוח 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 כי 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לו קושי כלכלי ולעיתים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ישנו קושי לרכוש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אוכל ובגדים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הנאשם מתייחס לחלק מהחוקים בצמצום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מתרועע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 שולי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תיאר 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ולתפיסתו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יודע לשלוט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ברגשותיו וכעסיו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 לכעוס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ושלל שימוש בסמים ובחומרים ממכרים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צויין כי הנאשם מודה ולוקח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 המבחן התרשם 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 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 במעמד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ובכבוד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מצמצמת לחוק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מחשבה על השלכות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 וקשר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 שולית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הנאשם 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 על תפקידיו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וכאח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לבני משפחתו ככל הניתן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 משפחתו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 פלילי 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בחומרים ממכרים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הנאשם מודה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 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 ולוקח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 חלקית על ביצועה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 להשתתפות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 שולית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חוסר בסמכות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מצמצמת לחוק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לווסת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ורגשותיו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 עלולה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 בהמלצה 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והמליץ על 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בדיון שהתקיים לאחר קבלת התסקיר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קבלת האחריות החלקית אשר עלתה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הנאשם והודה בכל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ונטען כי האמור היה כתוצאה מקושי בשפה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נשלח לקבלת תסקיר נוסף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על פי התסקיר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שיתף בקשיים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 הממושך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 כי ביציאתו מהמעצר רוצה להשתלב במסגרת תעסוקתית ולחסוך כסף כדי להתחתן ולשקם את חייו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התייחסות הנאשם לעבירה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עדיין מתקשה לקחת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משפחתו למשפחת המתלוננים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סמוך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לביתם של 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ולביתו של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 להתקדם לעברם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ראה שהמתלוננים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מחזיקים בנשק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בעקבות הסכסוך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 באותה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המשיכו להתקדם לעברו ומשפחתו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באוויר מנשק שבן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בכדי להרתיע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אותם ולהרחיקם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 לפגוע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 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 על השלכות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כי שוחח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נערכה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סולחה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 המשפחות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והוסיף כי שאל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בדבר 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הנאשם  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 לקח מההליך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כשבכוונתו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מחברה שולית ומעוניין לעבוד בכדי לקדם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 ולהתחתן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תיאר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 לכעוס ויודע לשלוט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ברגשותיו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 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ולרוב פועל בשיקול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וחושב על השלכות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הנאשם 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 העבירה פעל 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 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במידה ויומלץ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ישתף פעולה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 מכשילים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 כך שירות המבחן לא 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בהמלצה 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 שירות המבחן המליץ על 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ומחדדת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מאסר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טענות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הצדדים</w:t>
      </w:r>
      <w:r>
        <w:rPr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lang w:eastAsia="he-IL"/>
        </w:rPr>
        <w:t>5</w:t>
      </w:r>
      <w:r>
        <w:rPr>
          <w:rtl w:val="true"/>
          <w:lang w:eastAsia="he-IL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החברתיים שנפגעו הינם שמירה על חיי אדם ושלמות גופו ונפשו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הסדר הציבורי ועל אורח חיים תקין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 ובטוח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נטען כי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אינו חל ישירות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שהעבירות בהן הורשע הנאשם בוצעו לפני כניסתו לתוקף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יש בעצם הזדקקותו של המחוקק לקביעת עונשי מינימום בעבירות נשק כדי ללמד על מצב החירום האמיתי בו אנו מצויים כיום ועל החובה המוטלת על כלל רשויות המדינה לעשות כל שביכולתן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להילחם מלחמת חורמה בעבירות הנשק עד למיגורן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החזיק בנשק ארוך הדומה לרובה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היסס לעשות בו שימוש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על רקע סכסוך בין משפחתו לבין משפחת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המתלוננים המשיכו לפרק את מחסום האבנים ירה הנאשם בנשקו מספר יריות כלפי מעלה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בדרך 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האירוע הסתיים בכך שרק כדור אחד פגע באחד המתלוננים באוזנו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 כדור הרובה שפגע באוזנו של אחד המתלוננים היה סוטה בסנטימטר או 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היה האירוע להסתיים באופן נורא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 לקביעת מתחם עונש הולם הנע בין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לצד מאסרים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משמעותי ופיצויים לנפגע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הודייתו של הנאשם הגיעה לאחר שהליך ההוכחות החל להתנהל ונשמעו חלק מעדי התביעה לרבות שניים מהמתלוננים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הנשק בו עשה הנאשם שימוש לא נתפס 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ולנאשם הרשעה קודמת בעבירות איומים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נגזרו עליו מאסרים על תנאי קנס והתחייבות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 אינו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טיפולית והמליץ על ענישה מוחשית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 למקם את עונשו של הנאשם סמוך לאמצעיתו של המתחם תוך השתת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בפועל לצד ענישה נלווית הכוללת קנס משמעותי בסך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ופיצויים לנפגע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לטענת 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לא יוחסה לנאשם החבלה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ניתן לגזור את המתחם או את העונש של הנאשם  מאירוע או מפעולה של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 מיוחסת הפציעה של המתלונן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התסקירים מתארים קושי בלקיחת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הקושי נעוץ בכך שהנאשם מבקש לספר לקצינת המבחן את האירועים המקדימים לאירוע נשוא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בפני קצינת המבחן את החשש שלו ואת הסכסוך הפעיל בין שתי המשפחות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 דווקא את ההגנה העצמית כפי שהיא הבינה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לא טען להגנה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לקח אחריות על מה שמיוחס 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התחיל את האירוע בכוונה ללכת ולאיים עם נשק על המתלוננים אלא הם הגיעו לשטח של הנאשם ובני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מידת הפגיעה בערך המוגן היא ברף הנמוך ביותר שכן מעשיו של הנאשם לא הובילו לפגיעה בשלום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מחלוקת כי הנאשם ירה באוויר ובכך הסתיים חלקו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הנשק והשימוש בו היו לפרק זמן קצר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כיוון את נשקו לעוברים ושבים ולא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נטען כי הענישה אליה עותרת המאשימה לא פרופורציונלית ולא ניתן להעניש את הנאשם  על פציעה של אדם 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עתרה לקביעת מתחם עונש הולם הנע בין </w:t>
      </w:r>
      <w:r>
        <w:rPr>
          <w:rFonts w:cs="David" w:ascii="David" w:hAnsi="David"/>
        </w:rPr>
        <w:t>10-30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תוך מיקום עונשו של הנאשם  ברף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ועתרה להסתפק בימי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אמר שהוא מצטער על הטעות שעשה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  <w:lang w:eastAsia="he-IL"/>
        </w:rPr>
      </w:pPr>
      <w:r>
        <w:rPr>
          <w:rFonts w:cs="David" w:ascii="David" w:hAnsi="David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b/>
          <w:b/>
          <w:bCs/>
          <w:u w:val="single"/>
          <w:rtl w:val="true"/>
          <w:lang w:eastAsia="he-IL"/>
        </w:rPr>
        <w:t>הערכים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המוגנים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ומתחם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eastAsia="he-IL"/>
        </w:rPr>
        <w:t xml:space="preserve"> </w:t>
      </w:r>
      <w:r>
        <w:rPr>
          <w:b/>
          <w:b/>
          <w:bCs/>
          <w:u w:val="single"/>
          <w:rtl w:val="true"/>
          <w:lang w:eastAsia="he-IL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.  </w:t>
        <w:tab/>
      </w:r>
      <w:r>
        <w:rPr>
          <w:rFonts w:ascii="David" w:hAnsi="David"/>
          <w:rtl w:val="true"/>
        </w:rPr>
        <w:t>בביצוע העבירות פגע הנאשם בערכים המוגנים של הגנה על שלום הציבור וביטחון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מניעת סיכון לחיי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עליהם ועל שלמות הגוף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בעבירות הנשק פוטנציאל סכנה לביטחון הציבור ולחיי אדם והחומרה הרבה של עבירות אלה מחייבת מענה עונשי ומרתיע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הסיכון הרב הטמון בהן לשלום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 לצורך בהחמרת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צורך אשר בא לידי ביטוי הן בשורה ארוכה של פסקי דין והן בתיקוני החקיקה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אינו חל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וקודם לכן בתיקון </w:t>
      </w:r>
      <w:r>
        <w:rPr>
          <w:rFonts w:cs="David" w:ascii="David" w:hAnsi="David"/>
        </w:rPr>
        <w:t>134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במסגרתו  הוחמרה הענישה בגין העבירה של ירי מנשק חם במקום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ותיקון זה אשר  נכנס לתוקפו ביום </w:t>
      </w:r>
      <w:r>
        <w:rPr>
          <w:rFonts w:cs="David" w:ascii="David" w:hAnsi="David"/>
        </w:rPr>
        <w:t>26.7.18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 בעניינו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 xml:space="preserve">הנאשם ביצע הן עבירה של החזקת נשק 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שהחזיק בנשק ארוך הדומה לרובה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והן בעבירה של ירי מנשק חם באזור מגורים או במקום אחר שיש בירי כדי לסכן חיי אדם לפי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לסיכון העולה מעבירות נשק ר</w:t>
      </w:r>
      <w:r>
        <w:rPr>
          <w:rFonts w:cs="David" w:ascii="David" w:hAnsi="David"/>
          <w:rtl w:val="true"/>
        </w:rPr>
        <w:t xml:space="preserve">'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7502/12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בסאם כוויס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25.06.13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כפי שנפסק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בנשק לסוגיהן מגלמות בתוכן סיכון ממשי לשלום הציבור ולבטחונו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ואיזה שימוש יעשה בהם בעתיד</w:t>
      </w:r>
      <w:r>
        <w:rPr>
          <w:rFonts w:cs="David" w:ascii="David" w:hAnsi="David"/>
          <w:b/>
          <w:bCs/>
          <w:rtl w:val="true"/>
        </w:rPr>
        <w:t>."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לחומרת עבירות הנשק ולצורך בהחמרת הענישה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לראות פסיקה עקבית שתחילתה לפני שנים רבות ועד לעת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המדגישה את הצורך בהחמרה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גם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0">
        <w:r>
          <w:rPr>
            <w:rStyle w:val="Hyperlink"/>
            <w:rFonts w:cs="David" w:ascii="David" w:hAnsi="David"/>
            <w:color w:val="0000FF"/>
            <w:u w:val="single"/>
          </w:rPr>
          <w:t>1332/04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19.4.2004</w:t>
      </w:r>
      <w:r>
        <w:rPr>
          <w:rFonts w:cs="David" w:ascii="David" w:hAnsi="David"/>
          <w:rtl w:val="true"/>
        </w:rPr>
        <w:t>):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גם אם נכון הדבר כי עד כה רמת הענישה בעבירות של החזקת נשק אינה גבוהה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 שהמציאות השוררת בארץ – זמינותו של נשק חם ורב עוצמה שיש עמו פוטנציאל להסלמת האלימות העבריינית והאידאולוגית כאחד – מחייבת מתן ביטוי עונשי הולם והחמרה ברמת הענישה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 החומרה הרבה הגלומה בעבירות נשק ומגמת ההחמרה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הדברים הבאים מ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אגבאריה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בשורה ארוכה של פסקי דין עמד בית משפט זה על החומרה הרבה הגלומה בעבירות הנשק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ביסוד עבירות אלו עומדת פגיעה בחיי האדם ובשלמות 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כמו גם בביטחון הציבור ובסדר הציבורי בכללותו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אלו חמורות במיוחד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 משום שהן עשויות לשמש בסיס לביצוע עבירות נוספות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למשל על רקע עברייני או על רקע של פעילות טרור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מגמת הענישה בגין עבירות הנשק הוחמרה עם השנים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עת הפכו העבירות לנפוצות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ובין היתר ניתן משקל משמעותי לשיקולי הרתעה בעת גזירת העונש עליהן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בגין ירי מנשק חם במקום מגורים הוחמרה משנת מאסר אחת לחמש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לאור החומרה היתרה הגלומה בעבירה זו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מעבירה של ירי בנשק חם בסביבת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כבמקרה דנן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נשקפת חומרה יתרה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עלולה לגרום לנזק כבד לחיים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לגוף ולרכוש לעוברי אורח וליושבים בבתיהם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לכן מתחייבת ענישה מחמירה בגינה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 xml:space="preserve">בשנת 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החמיר המחוקק את העונש המרבי על ירי מנשק חם במקום מגורים משנת מאסר אחת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...". </w:t>
      </w:r>
      <w:r>
        <w:rPr>
          <w:rFonts w:cs="David" w:ascii="David" w:hAnsi="David"/>
          <w:rtl w:val="true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דלעיל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עוד לעניין חומרת עבירות הנשק והצורך בהחמרה ר</w:t>
      </w:r>
      <w:r>
        <w:rPr>
          <w:rFonts w:cs="David" w:ascii="David" w:hAnsi="David"/>
          <w:rtl w:val="true"/>
        </w:rPr>
        <w:t xml:space="preserve">'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6383/21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קריף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13.2.2022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לעיתים נכון להחמיר בענישה בגין סוגים מסוימים של עבירות בשל אופיין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 כי יש לסווגן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עבירות הנשק דורשות החמרה בשל שני הנימוקים גם יחד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ממד החומרה שבהן נעוץ בזיקתן לכלי בעל כוח קטלני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ובראי התקופה – הפגיעה באינטרס הציבורי ובבטחון הפרט דורשת ענישה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מעבר לזו שהייתה נקוטה בעבר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בפסיקה הובהר שוב ושוב בשנים האחרונות כי הענישה בעבירות נשק צריכה להיות מחמירה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לצערנו מספרן והיקפן של עבירות אלה גדלים בשנים האחרונות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פגיעתו הרעה של הנשק אינה תחומה לסביבה העבריינית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נפגעי העבירה נקלעים למקום במקרה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ואינם קשורים למעגל עברייני כלשהו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חטאו של נפגע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לפעמים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בכך שיצא מביתו ובחר להסתובב ברשות הרבים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הפגיעה אף אינה תחומה רק לנזק הפיזי שנגרם כתוצאה מהשימוש בנשק בלבד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השימוש בנשק עלול ליצור תחושת חשש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ופחד מפני ביצוע פעולה אלמנטרית שעומדת בליבת חופש התנועה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בכך נוצרת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הרתעה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של הנפגע הפוטנציאלי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זהו רובד אחד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רובד נוסף הוא התעצמות הפעילות העבריינית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פועלה ושאיפתה לשלוט בתחומים רחבים ושונים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התופעות של עסקאות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הובלתו ונשיאתו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מאיימות לא רק על שלמות הגוף של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גם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אקדח שיורה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השלישית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גורם כמובן לנזק רב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אך גם אקדח שמונח על השולחן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במערכה הראשונה</w:t>
      </w:r>
      <w:r>
        <w:rPr>
          <w:rFonts w:cs="David" w:ascii="David" w:hAnsi="David"/>
          <w:b/>
          <w:bCs/>
          <w:rtl w:val="true"/>
        </w:rPr>
        <w:t xml:space="preserve">" – </w:t>
      </w:r>
      <w:r>
        <w:rPr>
          <w:rFonts w:ascii="David" w:hAnsi="David"/>
          <w:b/>
          <w:b/>
          <w:bCs/>
          <w:rtl w:val="true"/>
        </w:rPr>
        <w:t>אף אם לא נעשה בו כל שימוש אחר בהמשך – עלול לפגוע בשלום הציבור באופן ממשי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 לקשור אפוא מלחמת חורמה על עבירות הנשק למיניהן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וגם על בית המשפט לתרום את חלקו למלחמה זו באמצעות ענישה הולמת ומרתיעה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פעם נקבע כי יש להחמיר בענישה בגין 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ולהעניק משקל מרכזי לשיקול של הרתעת הכלל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עוד נפנה 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שיבלי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13.12.2020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ולמגמת ההחמרה בגין עבירות אלו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הנשק – חמורות מנשוא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אחריתן – מי ישורנה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ברגיל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נקבע לא אחת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אם היתה זו פעם ראשונה לנאשם שמעד בעבירות הקשורות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נחמול ולא נכסה עליו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נשלחהו למאסר מאחורי סורג ובריח 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עבירות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הריהן מכת מדינה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אזרחים רבים מקפחים את חייהם מידי שנה בעטיין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ותחושת הביטחון הכללית של הציבור – נפגעת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מערכת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נדרשת גם היא ליתן את חלקה במלחמת החורמה שמנהלת מדינת ישראל נגד מבצעי העבירות הללו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ולפיכך מדיניות הענישה מצויה במגמת החמרה </w:t>
      </w:r>
      <w:r>
        <w:rPr>
          <w:rFonts w:cs="David" w:ascii="David" w:hAnsi="David"/>
          <w:b/>
          <w:bCs/>
          <w:rtl w:val="true"/>
        </w:rPr>
        <w:t xml:space="preserve">...".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קביעת מתחם העונש ההולם נעשית בעיקר תוך התייחסות לנסיבות המסוימות של ביצוע העבירה וקביעת המתחם אינה קשורה אך בעבירה כפי נוסחה ועונשה בחוק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בהן בוצעה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תוצאותיה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ומידת חומרתה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5.6.2013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והאמור שם ביחס לצביון האינדיבידואלי של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 חשיבות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הצורך לבחון את הנסיבות המסוימות בכל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מדובר בעבירות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Fonts w:ascii="David" w:hAnsi="David"/>
          <w:rtl w:val="true"/>
        </w:rPr>
        <w:t>בקביעת מתחם העונש ההולם יש להתייחס לסוג וכמות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הנסיבות הנילוות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לענין זה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שם נפסק 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היה על בית המשפט המחוזי לבסס את מתחם העונש ההולם בעניינם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השאר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סוג וכמות הנשק שבו סחרו – רימון הלם אחד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וכך נעשה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כפי שיבואר להלן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סוג הנשק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גם ההיקף שבו נסחר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הוחזק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הובל וכיוצא באלה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David" w:ascii="David" w:hAnsi="David"/>
          <w:b/>
          <w:bCs/>
          <w:rtl w:val="true"/>
        </w:rPr>
        <w:t>."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 לקביעת מתחם עונש הולם הנע בין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8.5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טענה כי על המתחם לנוע בין </w:t>
      </w:r>
      <w:r>
        <w:rPr>
          <w:rFonts w:cs="David" w:ascii="David" w:hAnsi="David"/>
        </w:rPr>
        <w:t>10-30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תוך הסתפקות בימי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29.4.2021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אליו הפנו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הורשע המערער בביצוע עבירות של החזקת נשק ואביזר תחמושת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וירי מנשק חם שלא כדין לפי </w:t>
      </w:r>
      <w:hyperlink r:id="rId3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המערער לקטין התפתחו חילופי 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הוציא אקדח ירה שתי יריות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הקטין 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ירה מספר יריות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והקטיר הסתתר בין כלי רכב שעמדו בסמוך ונמלט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מספר חודשים הגיעו כוחות ביטחון לביתו של המערער לצורך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הבחין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נמלט דרך החלון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ובתוך כך השליך תיק ובו האקדח היה אשר היה טעון במחסנית מלאה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 מחסניות מלאות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וסכום כסף במזומן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הטמין את התיק בחצר הסמוכה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במנוסתו עד שנעצר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כוחות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למערער עבר פלילי בעבירות רכוש וסמים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והעבירות בוצעו זמן קצר יחסית לאחר שחרורו ממאסרו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ובית המשפט המחוזי הטיל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מאסרים מותנים ופיצוי בסך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לקטין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 תוך שבית המשפט העליון מפנה לפסיקה הענפה בדבר החומרה היתרה הנודעת לביצוע עבירות בנשק ולכך שניכרת מגמה עקבית של החמרה בענישה כלפי מבצעי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כי מעשי המערער היו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מעשים חמורים אלה מחייבים תגובה עונשית הולמת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יש לציין כי בעניינו של הנאשם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 העבירות בהן הורשע  הינה חמורה יותר מהעבירה בה הורשע המערער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כאן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בנוסף לעבירה לפי </w:t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בעבירה לפי </w:t>
      </w:r>
      <w:hyperlink r:id="rId3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העונש בצידה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1059/21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העבירה היתה בחלופה המחמירה פחות לפי </w:t>
      </w:r>
      <w:hyperlink r:id="rId3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אגבאריה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21.6.2021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אליו התייחסנו גם לעיל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הורשעו המשיבים בעבירות לפי סעףי 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רישא וסיפא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144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רישא וסיפא 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יריות באזור מגורים לפי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שינוי זהות של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היזק בזדון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כל אחד מהם נגזרו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לכלל לפיו ערכאת הערעור אינה ממצה את חומרת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העמיד את עונש המאסר בפועל על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נלוו לעבירות הנשק שם שורת 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ואחת מעבירות הנשק היתה גם 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הטיל את הענישה האמורה בשים לב לכלל לפיו ערכאת הערעור אינה ממצה את חומרת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לסקירת הענישה בעבירות ירי מנשק חם במקום מגורים והחזקת נשק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לפסק הדין שם מפורטת שורת מקרים בהם הוטלו עונשים של </w:t>
      </w:r>
      <w:r>
        <w:rPr>
          <w:rFonts w:cs="David" w:ascii="David" w:hAnsi="David"/>
        </w:rPr>
        <w:t>36-42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בנסיבות חמורות יותר וחלקם בנסיבות חמורות פחות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בהתאם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נוקט בית משפט זה מדיניות ענישה הכוללת עונשי מאסר ממושכים בפועל בגין עבירות ירי בנשק במקום מגורים כבענייננו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כך למשל ב</w:t>
      </w:r>
      <w:hyperlink r:id="rId4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1427/21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שוויקי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26.5.2021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נדחה ערעורו של מי שירה באוויר באזור מגורים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כדורים לפחות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ושנגזר עליו עונש של </w:t>
      </w:r>
      <w:r>
        <w:rPr>
          <w:rFonts w:cs="David" w:ascii="David" w:hAnsi="David"/>
          <w:b/>
          <w:bCs/>
        </w:rPr>
        <w:t>37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וב</w:t>
      </w:r>
      <w:hyperlink r:id="rId4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1509/20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נבארי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2.7.2020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החמיר בית משפט זה את עונשו של המשיב מ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בגין ירי של שני כדורים באזור מגורים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אף במקרים שבהם הורשעו הנאשמים בעבירות נשיאת נשק והחזקתו או בעבירת ירי מנשק חם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ולא בירי לעבר מקום מגורים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העונשים הרווחים גבוהים מאלה שהוטלו על המשיבים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</w:t>
      </w:r>
      <w:hyperlink r:id="rId4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1059/21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29.4.2021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דחה בית משפט זה את ערעורו של מי שהורשע בעבירות החזקת נשק ואביזר 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ירי מנשק חם שלא כדין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סמוך לביתו של המתלונן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איומים והפרעה לשוטר בשעת מילוי תפקידו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ונגזרו עליו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ובעניין חלייחל דחה בית משפט זה ערעור שבו עונשו של המערער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שהורשע בעבירות הובלה ונשיאה של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הועמד על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העבירות אשר ביצע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סכסוך בין משפחתו של הנאשם לבני משפחת המתלוננים הוצב מחסום אבנים וצמיגים על אחד משבילי העפר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כשהחלו המתלונן ויו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א לפרק את המחסום עמדו הנאשם ואדם נוסף במרחק מה כשכל אחד מהם מחזיק בנשק ארוך הדומה לרובה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ולידם עמדו אנשים נוספים ובין היתר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אמר  למתלוננים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אף אחד לא ירים אבנים ומי שירים אבנים אני יורה בו</w:t>
      </w:r>
      <w:r>
        <w:rPr>
          <w:rFonts w:cs="David" w:ascii="David" w:hAnsi="David"/>
          <w:rtl w:val="true"/>
        </w:rPr>
        <w:t xml:space="preserve">",  </w:t>
      </w:r>
      <w:r>
        <w:rPr>
          <w:rFonts w:ascii="David" w:hAnsi="David"/>
          <w:rtl w:val="true"/>
        </w:rPr>
        <w:t>ובהמשך לכך כיוון את הנשק כלפי מעלה וירה מספר 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במקביל האדם הנוסף כיוון את הנשק כלפי המתלוננים וירה לעברם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וכתוצאה מהירי של האדם הנוסף המתלונן נפצע באוזנו השמאלית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הואשם בעבירה של הפגיעה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להטיל עליו ענישה בגין מעשיו של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 העבירות אשר ביצע הנאשם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חמורות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לכשעצמן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עושה שימוש בנשק חם ובירי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סכסוך הקשור למחסום אבנים שהוצב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מבצע ירי כאשר קטינים נמצאים לידו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מבצע את הירי בהמשך לכך שאמר למתלוננים כי יירה במי שירים אבנים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של ביצוע העבירות חמורות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ועולה מהן לא רק עצם ההחזקה של הנשק ועצם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שימוש בנשק במסגרת סכסוך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לעבירות החמורות ולנסיבות החמורות של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מענה עונשי 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יבטא לא רק את החומרה אשר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גם את החומרה היתרה העולה משימוש בפועל בנשק במסגרת סכסוך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לכך יש להוסיף את הצורך בהחמרה בענישה בעבירות חמורות אלו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כי מתחם העונש ההולם לעבירות אשר 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ולל מאסר בפועל 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 יליד </w:t>
      </w:r>
      <w:r>
        <w:rPr>
          <w:rFonts w:cs="David" w:ascii="David" w:hAnsi="David"/>
        </w:rPr>
        <w:t>1995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ולחובתו עבר פלילי הכולל הרשעה אחת בעבירות מ –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איומים והפרעה לשוטר במילוי תפקידו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עברו הפלילי של הנאשם אינו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ואינני מוצא כי יש לתת לו משקל משמעותי בענישה במסגרת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מלמדות כי ככלל למעט ההרשעה היחידה בשתי העבירות האמורות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הוא אורח חיים נורמטיבי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מהתסקירים ניכרת בעייתיות מסוימת בהשלכה חלקית של אחריות הנאשם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המתלוננים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הענישה להיות מעל הרף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לאור הצורך ליתן משקל להרתעת היחיד ולהרתעת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ביחס לעבירות נשק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ביחס לשימוש בפועל בנשק במסגרת סכסוכים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הענישה תהא בין הרף התחתון לאמצעו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לא מצאתי מקום להטלת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בשים לב לכך שלא מדובר בעבירה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לאור המאסר המוטל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David" w:hAnsi="David"/>
          <w:rtl w:val="true"/>
        </w:rPr>
        <w:t>אשר לעתירת המאשימה לפיצוי – כתב האישום המתוקן והמוסכם בין הצדדים אינו מייחס לנאשם את הפגיעה במתלונן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כתב האישום תוקן כך שהושמטו ממנו העובדות אשר יוחסו לו בתחילה לפציעה של המתלונן והושמטו העבירות של חבלה בכוונה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במצב דברים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משלא מואשם הנאשם בפגיעה הפיזית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קיים קושי </w:t>
      </w:r>
      <w:r>
        <w:rPr>
          <w:rFonts w:ascii="David" w:hAnsi="David"/>
          <w:rtl w:val="true"/>
        </w:rPr>
        <w:t xml:space="preserve">בעתירה </w:t>
      </w:r>
      <w:r>
        <w:rPr>
          <w:rFonts w:ascii="David" w:hAnsi="David"/>
          <w:rtl w:val="true"/>
        </w:rPr>
        <w:t>להטיל על הנאשם 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lang w:eastAsia="he-IL"/>
        </w:rPr>
        <w:t>12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לאור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גוזר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הנאשם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הבאים</w:t>
      </w:r>
      <w:r>
        <w:rPr>
          <w:b/>
          <w:bCs/>
          <w:rtl w:val="true"/>
          <w:lang w:eastAsia="he-IL"/>
        </w:rPr>
        <w:t xml:space="preserve">: </w:t>
      </w:r>
      <w:r>
        <w:rPr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rFonts w:ascii="David" w:hAnsi="David" w:eastAsia="David"/>
          <w:b/>
          <w:b/>
          <w:bCs/>
          <w:rtl w:val="true"/>
        </w:rPr>
        <w:t xml:space="preserve">מאסר </w:t>
      </w:r>
      <w:r>
        <w:rPr>
          <w:rFonts w:eastAsia="David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מאסר בפועל לתקופה של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מתקופת מאסרו ינוכו ימי מעצרו מיום </w:t>
      </w:r>
      <w:r>
        <w:rPr>
          <w:rFonts w:eastAsia="David" w:cs="David" w:ascii="David" w:hAnsi="David"/>
        </w:rPr>
        <w:t>10.9.21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start="510"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rFonts w:ascii="David" w:hAnsi="David" w:eastAsia="David"/>
          <w:b/>
          <w:b/>
          <w:bCs/>
          <w:rtl w:val="true"/>
        </w:rPr>
        <w:t xml:space="preserve">מאסר על תנאי </w:t>
      </w:r>
      <w:r>
        <w:rPr>
          <w:rFonts w:eastAsia="David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מאסר על תנאי לתקופה של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ישא בעונש זה אם בתקופה של שלוש שנים מיום שחרורו יעבור על עבירה נוספת לפיה הורשע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או כל עבירת נשק מסוג פשע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/>
        <w:ind w:start="510" w:end="0"/>
        <w:jc w:val="both"/>
        <w:rPr>
          <w:rFonts w:ascii="David" w:hAnsi="David" w:eastAsia="David" w:cs="David"/>
          <w:color w:val="FFFFFF"/>
          <w:sz w:val="2"/>
          <w:szCs w:val="2"/>
        </w:rPr>
      </w:pPr>
      <w:r>
        <w:rPr>
          <w:rFonts w:eastAsia="David"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lang w:eastAsia="he-IL"/>
        </w:rPr>
        <w:t>54678313</w:t>
      </w:r>
      <w:r>
        <w:rPr>
          <w:b/>
          <w:b/>
          <w:bCs/>
          <w:rtl w:val="true"/>
          <w:lang w:eastAsia="he-IL"/>
        </w:rPr>
        <w:t>זכות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ערעור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בתוך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מהיום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lang w:eastAsia="he-IL"/>
        </w:rPr>
      </w:pPr>
      <w:r>
        <w:rPr>
          <w:rFonts w:cs="Arial" w:ascii="Arial" w:hAnsi="Arial"/>
          <w:b/>
          <w:bCs/>
          <w:sz w:val="26"/>
          <w:szCs w:val="2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32882-09-21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מאלק אבו ואדי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/340a.b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0a.b.1" TargetMode="External"/><Relationship Id="rId19" Type="http://schemas.openxmlformats.org/officeDocument/2006/relationships/hyperlink" Target="http://www.nevo.co.il/case/5601503" TargetMode="External"/><Relationship Id="rId20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case/27603872" TargetMode="External"/><Relationship Id="rId22" Type="http://schemas.openxmlformats.org/officeDocument/2006/relationships/hyperlink" Target="http://www.nevo.co.il/case/27603872" TargetMode="External"/><Relationship Id="rId23" Type="http://schemas.openxmlformats.org/officeDocument/2006/relationships/hyperlink" Target="http://www.nevo.co.il/case/27925239" TargetMode="External"/><Relationship Id="rId24" Type="http://schemas.openxmlformats.org/officeDocument/2006/relationships/hyperlink" Target="http://www.nevo.co.il/case/26934681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6473037" TargetMode="External"/><Relationship Id="rId27" Type="http://schemas.openxmlformats.org/officeDocument/2006/relationships/hyperlink" Target="http://www.nevo.co.il/case/27404359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0a.a" TargetMode="External"/><Relationship Id="rId31" Type="http://schemas.openxmlformats.org/officeDocument/2006/relationships/hyperlink" Target="http://www.nevo.co.il/case/27404359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340a.b" TargetMode="External"/><Relationship Id="rId34" Type="http://schemas.openxmlformats.org/officeDocument/2006/relationships/hyperlink" Target="http://www.nevo.co.il/case/27404359" TargetMode="External"/><Relationship Id="rId35" Type="http://schemas.openxmlformats.org/officeDocument/2006/relationships/hyperlink" Target="http://www.nevo.co.il/law/70301/340a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760387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40a.b.1" TargetMode="External"/><Relationship Id="rId40" Type="http://schemas.openxmlformats.org/officeDocument/2006/relationships/hyperlink" Target="http://www.nevo.co.il/law/70301/144.b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7436592" TargetMode="External"/><Relationship Id="rId43" Type="http://schemas.openxmlformats.org/officeDocument/2006/relationships/hyperlink" Target="http://www.nevo.co.il/case/26492590" TargetMode="External"/><Relationship Id="rId44" Type="http://schemas.openxmlformats.org/officeDocument/2006/relationships/hyperlink" Target="http://www.nevo.co.il/case/27404359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2024-05-05T08:25:00Z</dcterms:created>
  <dc:creator> </dc:creator>
  <dc:description/>
  <cp:keywords/>
  <dc:language>en-IL</dc:language>
  <cp:lastModifiedBy>h1</cp:lastModifiedBy>
  <dcterms:modified xsi:type="dcterms:W3CDTF">2024-05-05T08:25:00Z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מאלק אבו ואדי;מגדי אבו ואדי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5601503;5762686;27603872:3;27925239;26934681;6473037:2;27404359:4;27436592;26492590</vt:lpwstr>
  </property>
  <property fmtid="{D5CDD505-2E9C-101B-9397-08002B2CF9AE}" pid="9" name="CITY">
    <vt:lpwstr>ב"ש</vt:lpwstr>
  </property>
  <property fmtid="{D5CDD505-2E9C-101B-9397-08002B2CF9AE}" pid="10" name="DATE">
    <vt:lpwstr>20230214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יואל עדן</vt:lpwstr>
  </property>
  <property fmtid="{D5CDD505-2E9C-101B-9397-08002B2CF9AE}" pid="14" name="LAWLISTTMP1">
    <vt:lpwstr>70301/144.a:4;340a.b.1:3;244;340a.a:2;340a.b;144.b</vt:lpwstr>
  </property>
  <property fmtid="{D5CDD505-2E9C-101B-9397-08002B2CF9AE}" pid="15" name="LAWYER">
    <vt:lpwstr>חיים שוייצר;שני דריי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32882;2024</vt:lpwstr>
  </property>
  <property fmtid="{D5CDD505-2E9C-101B-9397-08002B2CF9AE}" pid="22" name="NEWPARTB">
    <vt:lpwstr>09;10</vt:lpwstr>
  </property>
  <property fmtid="{D5CDD505-2E9C-101B-9397-08002B2CF9AE}" pid="23" name="NEWPARTC">
    <vt:lpwstr>21;21</vt:lpwstr>
  </property>
  <property fmtid="{D5CDD505-2E9C-101B-9397-08002B2CF9AE}" pid="24" name="NEWPROC">
    <vt:lpwstr>תפ;תפ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390020230214</vt:lpwstr>
  </property>
  <property fmtid="{D5CDD505-2E9C-101B-9397-08002B2CF9AE}" pid="34" name="TYPE_N_DATE">
    <vt:lpwstr>39020230214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