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FirstLawyer"/>
            <w:bookmarkEnd w:id="0"/>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32917-08-11</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מחאמיד</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13</w:t>
            </w:r>
            <w:r>
              <w:rPr>
                <w:b/>
                <w:bCs/>
                <w:sz w:val="26"/>
                <w:szCs w:val="26"/>
                <w:rtl w:val="true"/>
              </w:rPr>
              <w:t xml:space="preserve"> </w:t>
            </w:r>
            <w:r>
              <w:rPr>
                <w:b/>
                <w:b/>
                <w:bCs/>
                <w:sz w:val="26"/>
                <w:sz w:val="26"/>
                <w:szCs w:val="26"/>
                <w:rtl w:val="true"/>
              </w:rPr>
              <w:t xml:space="preserve">פברואר </w:t>
            </w:r>
            <w:r>
              <w:rPr>
                <w:b/>
                <w:bCs/>
                <w:sz w:val="26"/>
                <w:szCs w:val="26"/>
              </w:rPr>
              <w:t>2012</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rFonts w:ascii="Arial" w:hAnsi="Arial" w:cs="Arial"/>
                <w:sz w:val="26"/>
                <w:szCs w:val="26"/>
              </w:rPr>
            </w:pPr>
            <w:r>
              <w:rPr>
                <w:b/>
                <w:b/>
                <w:bCs/>
                <w:sz w:val="26"/>
                <w:sz w:val="26"/>
                <w:szCs w:val="26"/>
                <w:rtl w:val="true"/>
              </w:rPr>
              <w:t>בפני כבוד סגן הנשיא</w:t>
            </w:r>
            <w:r>
              <w:rPr>
                <w:b/>
                <w:bCs/>
                <w:sz w:val="26"/>
                <w:szCs w:val="26"/>
                <w:rtl w:val="true"/>
              </w:rPr>
              <w:t xml:space="preserve">, </w:t>
            </w:r>
            <w:r>
              <w:rPr>
                <w:b/>
                <w:b/>
                <w:bCs/>
                <w:sz w:val="26"/>
                <w:sz w:val="26"/>
                <w:szCs w:val="26"/>
                <w:rtl w:val="true"/>
              </w:rPr>
              <w:t>השופט – תאופיק כתילי</w:t>
            </w:r>
          </w:p>
        </w:tc>
      </w:tr>
      <w:tr>
        <w:trPr/>
        <w:tc>
          <w:tcPr>
            <w:tcW w:w="2884" w:type="dxa"/>
            <w:gridSpan w:val="2"/>
            <w:tcBorders/>
            <w:tcMar>
              <w:start w:w="108" w:type="dxa"/>
              <w:end w:w="108" w:type="dxa"/>
            </w:tcMar>
          </w:tcPr>
          <w:p>
            <w:pPr>
              <w:pStyle w:val="Normal"/>
              <w:ind w:start="26" w:end="0"/>
              <w:jc w:val="start"/>
              <w:rPr>
                <w:b/>
                <w:bCs/>
                <w:sz w:val="26"/>
                <w:szCs w:val="26"/>
              </w:rPr>
            </w:pPr>
            <w:bookmarkStart w:id="1" w:name="LastJudge"/>
            <w:bookmarkStart w:id="2" w:name="FirstAppellant"/>
            <w:bookmarkEnd w:id="1"/>
            <w:bookmarkEnd w:id="2"/>
            <w:r>
              <w:rPr>
                <w:b/>
                <w:b/>
                <w:bCs/>
                <w:sz w:val="26"/>
                <w:sz w:val="26"/>
                <w:szCs w:val="26"/>
                <w:rtl w:val="true"/>
              </w:rPr>
              <w:t>המאשימה</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2"/>
                <w:szCs w:val="22"/>
              </w:rPr>
            </w:pPr>
            <w:r>
              <w:rPr>
                <w:b/>
                <w:b/>
                <w:bCs/>
                <w:sz w:val="22"/>
                <w:sz w:val="22"/>
                <w:szCs w:val="22"/>
                <w:rtl w:val="true"/>
              </w:rPr>
              <w:t>באמצעות פרקליטות מחוז צפון</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הנאשם</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 xml:space="preserve">רפיק מחאמיד </w:t>
            </w:r>
            <w:r>
              <w:rPr>
                <w:b/>
                <w:bCs/>
                <w:sz w:val="26"/>
                <w:szCs w:val="26"/>
                <w:rtl w:val="true"/>
              </w:rPr>
              <w:t>(</w:t>
            </w:r>
            <w:r>
              <w:rPr>
                <w:b/>
                <w:b/>
                <w:bCs/>
                <w:sz w:val="26"/>
                <w:sz w:val="26"/>
                <w:szCs w:val="26"/>
                <w:rtl w:val="true"/>
              </w:rPr>
              <w:t>עציר</w:t>
            </w:r>
            <w:r>
              <w:rPr>
                <w:b/>
                <w:bCs/>
                <w:sz w:val="26"/>
                <w:szCs w:val="26"/>
                <w:rtl w:val="true"/>
              </w:rPr>
              <w:t>)</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r>
        <w:rPr>
          <w:u w:val="none"/>
          <w:rtl w:val="true"/>
        </w:rPr>
        <w:t>מטעם המאשימה</w:t>
      </w:r>
      <w:r>
        <w:rPr>
          <w:u w:val="none"/>
          <w:rtl w:val="true"/>
        </w:rPr>
        <w:t xml:space="preserve">: </w:t>
      </w:r>
      <w:r>
        <w:rPr>
          <w:u w:val="none"/>
          <w:rtl w:val="true"/>
        </w:rPr>
        <w:t>עו</w:t>
      </w:r>
      <w:r>
        <w:rPr>
          <w:u w:val="none"/>
          <w:rtl w:val="true"/>
        </w:rPr>
        <w:t>"</w:t>
      </w:r>
      <w:r>
        <w:rPr>
          <w:u w:val="none"/>
          <w:rtl w:val="true"/>
        </w:rPr>
        <w:t>ד יערה לב</w:t>
      </w:r>
    </w:p>
    <w:p>
      <w:pPr>
        <w:pStyle w:val="12"/>
        <w:ind w:end="0"/>
        <w:jc w:val="start"/>
        <w:rPr>
          <w:u w:val="none"/>
        </w:rPr>
      </w:pPr>
      <w:r>
        <w:rPr>
          <w:u w:val="none"/>
          <w:rtl w:val="true"/>
        </w:rPr>
        <w:t>מטעם הנאשם</w:t>
      </w:r>
      <w:r>
        <w:rPr>
          <w:u w:val="none"/>
          <w:rtl w:val="true"/>
        </w:rPr>
        <w:t xml:space="preserve">: </w:t>
      </w:r>
      <w:r>
        <w:rPr>
          <w:u w:val="none"/>
          <w:rtl w:val="true"/>
        </w:rPr>
        <w:t>הובא וע</w:t>
      </w:r>
      <w:r>
        <w:rPr>
          <w:u w:val="none"/>
          <w:rtl w:val="true"/>
        </w:rPr>
        <w:t>"</w:t>
      </w:r>
      <w:r>
        <w:rPr>
          <w:u w:val="none"/>
          <w:rtl w:val="true"/>
        </w:rPr>
        <w:t>י ב</w:t>
      </w:r>
      <w:r>
        <w:rPr>
          <w:u w:val="none"/>
          <w:rtl w:val="true"/>
        </w:rPr>
        <w:t>"</w:t>
      </w:r>
      <w:r>
        <w:rPr>
          <w:u w:val="none"/>
          <w:rtl w:val="true"/>
        </w:rPr>
        <w:t>כ עו</w:t>
      </w:r>
      <w:r>
        <w:rPr>
          <w:u w:val="none"/>
          <w:rtl w:val="true"/>
        </w:rPr>
        <w:t>"</w:t>
      </w:r>
      <w:r>
        <w:rPr>
          <w:u w:val="none"/>
          <w:rtl w:val="true"/>
        </w:rPr>
        <w:t>ד עלא אגברייה</w:t>
      </w:r>
    </w:p>
    <w:p>
      <w:pPr>
        <w:pStyle w:val="12"/>
        <w:ind w:end="0"/>
        <w:jc w:val="start"/>
        <w:rPr>
          <w:b w:val="false"/>
          <w:bCs w:val="false"/>
          <w:u w:val="none"/>
        </w:rPr>
      </w:pPr>
      <w:r>
        <w:rPr>
          <w:b w:val="false"/>
          <w:bCs w:val="false"/>
          <w:u w:val="none"/>
          <w:rtl w:val="true"/>
        </w:rPr>
      </w:r>
    </w:p>
    <w:p>
      <w:pPr>
        <w:pStyle w:val="Style14"/>
        <w:ind w:end="0"/>
        <w:jc w:val="center"/>
        <w:rPr>
          <w:rFonts w:ascii="Arial" w:hAnsi="Arial" w:eastAsia="David" w:cs="Arial"/>
          <w:sz w:val="28"/>
          <w:szCs w:val="28"/>
        </w:rPr>
      </w:pPr>
      <w:r>
        <w:rPr>
          <w:rFonts w:ascii="Arial" w:hAnsi="Arial" w:eastAsia="David" w:cs="Arial"/>
          <w:b/>
          <w:b/>
          <w:color w:val="FF0000"/>
          <w:sz w:val="28"/>
          <w:sz w:val="28"/>
          <w:rtl w:val="true"/>
        </w:rPr>
        <w:t>במסמך זה הושמטו פרוטוקולים</w:t>
      </w:r>
      <w:bookmarkStart w:id="3" w:name="LawTable"/>
      <w:bookmarkEnd w:id="3"/>
    </w:p>
    <w:p>
      <w:pPr>
        <w:pStyle w:val="Style14"/>
        <w:spacing w:lineRule="exact" w:line="240" w:before="0" w:after="120"/>
        <w:ind w:hanging="283" w:start="283" w:end="0"/>
        <w:jc w:val="both"/>
        <w:rPr>
          <w:rFonts w:ascii="FrankRuehl" w:hAnsi="FrankRuehl" w:eastAsia="David" w:cs="FrankRuehl"/>
          <w:sz w:val="28"/>
          <w:szCs w:val="28"/>
        </w:rPr>
      </w:pPr>
      <w:r>
        <w:rPr>
          <w:rFonts w:eastAsia="David" w:cs="FrankRuehl" w:ascii="FrankRuehl" w:hAnsi="FrankRuehl"/>
          <w:sz w:val="28"/>
          <w:szCs w:val="28"/>
          <w:rtl w:val="true"/>
        </w:rPr>
      </w:r>
    </w:p>
    <w:p>
      <w:pPr>
        <w:pStyle w:val="Style14"/>
        <w:spacing w:lineRule="exact" w:line="240" w:before="0" w:after="120"/>
        <w:ind w:hanging="283" w:start="283" w:end="0"/>
        <w:jc w:val="both"/>
        <w:rPr>
          <w:rFonts w:ascii="FrankRuehl" w:hAnsi="FrankRuehl" w:eastAsia="David" w:cs="FrankRuehl"/>
        </w:rPr>
      </w:pPr>
      <w:r>
        <w:rPr>
          <w:rFonts w:ascii="FrankRuehl" w:hAnsi="FrankRuehl" w:eastAsia="David" w:cs="FrankRuehl"/>
          <w:rtl w:val="true"/>
        </w:rPr>
        <w:t>חקיקה שאוזכרה</w:t>
      </w:r>
      <w:r>
        <w:rPr>
          <w:rFonts w:eastAsia="David" w:cs="FrankRuehl" w:ascii="FrankRuehl" w:hAnsi="FrankRuehl"/>
          <w:rtl w:val="true"/>
        </w:rPr>
        <w:t xml:space="preserve">: </w:t>
      </w:r>
    </w:p>
    <w:p>
      <w:pPr>
        <w:pStyle w:val="Style14"/>
        <w:spacing w:lineRule="exact" w:line="240" w:before="0" w:after="120"/>
        <w:ind w:hanging="283" w:start="283" w:end="0"/>
        <w:jc w:val="both"/>
        <w:rPr>
          <w:rFonts w:ascii="FrankRuehl" w:hAnsi="FrankRuehl" w:eastAsia="David" w:cs="FrankRuehl"/>
        </w:rPr>
      </w:pPr>
      <w:hyperlink r:id="rId2">
        <w:r>
          <w:rPr>
            <w:rStyle w:val="Hyperlink"/>
            <w:rFonts w:ascii="FrankRuehl" w:hAnsi="FrankRuehl" w:eastAsia="David" w:cs="FrankRuehl"/>
            <w:color w:val="0000FF"/>
            <w:u w:val="single"/>
            <w:rtl w:val="true"/>
          </w:rPr>
          <w:t>חוק העונשין</w:t>
        </w:r>
        <w:r>
          <w:rPr>
            <w:rStyle w:val="Hyperlink"/>
            <w:rFonts w:eastAsia="David" w:cs="FrankRuehl" w:ascii="FrankRuehl" w:hAnsi="FrankRuehl"/>
            <w:color w:val="0000FF"/>
            <w:u w:val="single"/>
            <w:rtl w:val="true"/>
          </w:rPr>
          <w:t xml:space="preserve">, </w:t>
        </w:r>
        <w:r>
          <w:rPr>
            <w:rStyle w:val="Hyperlink"/>
            <w:rFonts w:ascii="FrankRuehl" w:hAnsi="FrankRuehl" w:eastAsia="David" w:cs="FrankRuehl"/>
            <w:color w:val="0000FF"/>
            <w:u w:val="single"/>
            <w:rtl w:val="true"/>
          </w:rPr>
          <w:t>תשל</w:t>
        </w:r>
        <w:r>
          <w:rPr>
            <w:rStyle w:val="Hyperlink"/>
            <w:rFonts w:eastAsia="David" w:cs="FrankRuehl" w:ascii="FrankRuehl" w:hAnsi="FrankRuehl"/>
            <w:color w:val="0000FF"/>
            <w:u w:val="single"/>
            <w:rtl w:val="true"/>
          </w:rPr>
          <w:t>"</w:t>
        </w:r>
        <w:r>
          <w:rPr>
            <w:rStyle w:val="Hyperlink"/>
            <w:rFonts w:ascii="FrankRuehl" w:hAnsi="FrankRuehl" w:eastAsia="David" w:cs="FrankRuehl"/>
            <w:color w:val="0000FF"/>
            <w:u w:val="single"/>
            <w:rtl w:val="true"/>
          </w:rPr>
          <w:t>ז</w:t>
        </w:r>
        <w:r>
          <w:rPr>
            <w:rStyle w:val="Hyperlink"/>
            <w:rFonts w:eastAsia="David" w:cs="FrankRuehl" w:ascii="FrankRuehl" w:hAnsi="FrankRuehl"/>
            <w:color w:val="0000FF"/>
            <w:u w:val="single"/>
            <w:rtl w:val="true"/>
          </w:rPr>
          <w:t>-</w:t>
        </w:r>
        <w:r>
          <w:rPr>
            <w:rStyle w:val="Hyperlink"/>
            <w:rFonts w:eastAsia="David" w:cs="FrankRuehl" w:ascii="FrankRuehl" w:hAnsi="FrankRuehl"/>
            <w:color w:val="0000FF"/>
            <w:u w:val="single"/>
          </w:rPr>
          <w:t>1977</w:t>
        </w:r>
      </w:hyperlink>
      <w:r>
        <w:rPr>
          <w:rFonts w:eastAsia="David" w:cs="FrankRuehl" w:ascii="FrankRuehl" w:hAnsi="FrankRuehl"/>
          <w:rtl w:val="true"/>
        </w:rPr>
        <w:t xml:space="preserve">: </w:t>
      </w:r>
      <w:r>
        <w:rPr>
          <w:rFonts w:ascii="FrankRuehl" w:hAnsi="FrankRuehl" w:eastAsia="David" w:cs="FrankRuehl"/>
          <w:rtl w:val="true"/>
        </w:rPr>
        <w:t>סע</w:t>
      </w:r>
      <w:r>
        <w:rPr>
          <w:rFonts w:eastAsia="David" w:cs="FrankRuehl" w:ascii="FrankRuehl" w:hAnsi="FrankRuehl"/>
          <w:rtl w:val="true"/>
        </w:rPr>
        <w:t xml:space="preserve">'  </w:t>
      </w:r>
      <w:hyperlink r:id="rId3">
        <w:r>
          <w:rPr>
            <w:rStyle w:val="Hyperlink"/>
            <w:rFonts w:eastAsia="David" w:cs="FrankRuehl" w:ascii="FrankRuehl" w:hAnsi="FrankRuehl"/>
            <w:color w:val="0000FF"/>
            <w:u w:val="single"/>
          </w:rPr>
          <w:t>144</w:t>
        </w:r>
        <w:r>
          <w:rPr>
            <w:rStyle w:val="Hyperlink"/>
            <w:rFonts w:eastAsia="David" w:cs="FrankRuehl" w:ascii="FrankRuehl" w:hAnsi="FrankRuehl"/>
            <w:color w:val="0000FF"/>
            <w:u w:val="single"/>
            <w:rtl w:val="true"/>
          </w:rPr>
          <w:t>(</w:t>
        </w:r>
        <w:r>
          <w:rPr>
            <w:rStyle w:val="Hyperlink"/>
            <w:rFonts w:ascii="FrankRuehl" w:hAnsi="FrankRuehl" w:eastAsia="David" w:cs="FrankRuehl"/>
            <w:color w:val="0000FF"/>
            <w:u w:val="single"/>
            <w:rtl w:val="true"/>
          </w:rPr>
          <w:t>ב</w:t>
        </w:r>
        <w:r>
          <w:rPr>
            <w:rStyle w:val="Hyperlink"/>
            <w:rFonts w:eastAsia="David" w:cs="FrankRuehl" w:ascii="FrankRuehl" w:hAnsi="FrankRuehl"/>
            <w:color w:val="0000FF"/>
            <w:u w:val="single"/>
            <w:rtl w:val="true"/>
          </w:rPr>
          <w:t>)</w:t>
        </w:r>
      </w:hyperlink>
      <w:r>
        <w:rPr>
          <w:rFonts w:eastAsia="David" w:cs="FrankRuehl" w:ascii="FrankRuehl" w:hAnsi="FrankRuehl"/>
          <w:rtl w:val="true"/>
        </w:rPr>
        <w:t xml:space="preserve">, </w:t>
      </w:r>
      <w:hyperlink r:id="rId4">
        <w:r>
          <w:rPr>
            <w:rStyle w:val="Hyperlink"/>
            <w:rFonts w:eastAsia="David" w:cs="FrankRuehl" w:ascii="FrankRuehl" w:hAnsi="FrankRuehl"/>
            <w:color w:val="0000FF"/>
            <w:u w:val="single"/>
          </w:rPr>
          <w:t>275</w:t>
        </w:r>
      </w:hyperlink>
      <w:r>
        <w:rPr>
          <w:rFonts w:eastAsia="David" w:cs="FrankRuehl" w:ascii="FrankRuehl" w:hAnsi="FrankRuehl"/>
          <w:rtl w:val="true"/>
        </w:rPr>
        <w:t xml:space="preserve">, </w:t>
      </w:r>
      <w:hyperlink r:id="rId5">
        <w:r>
          <w:rPr>
            <w:rStyle w:val="Hyperlink"/>
            <w:rFonts w:eastAsia="David" w:cs="FrankRuehl" w:ascii="FrankRuehl" w:hAnsi="FrankRuehl"/>
            <w:color w:val="0000FF"/>
            <w:u w:val="single"/>
          </w:rPr>
          <w:t>332</w:t>
        </w:r>
        <w:r>
          <w:rPr>
            <w:rStyle w:val="Hyperlink"/>
            <w:rFonts w:eastAsia="David" w:cs="FrankRuehl" w:ascii="FrankRuehl" w:hAnsi="FrankRuehl"/>
            <w:color w:val="0000FF"/>
            <w:u w:val="single"/>
            <w:rtl w:val="true"/>
          </w:rPr>
          <w:t>(</w:t>
        </w:r>
        <w:r>
          <w:rPr>
            <w:rStyle w:val="Hyperlink"/>
            <w:rFonts w:eastAsia="David" w:cs="FrankRuehl" w:ascii="FrankRuehl" w:hAnsi="FrankRuehl"/>
            <w:color w:val="0000FF"/>
            <w:u w:val="single"/>
          </w:rPr>
          <w:t>2</w:t>
        </w:r>
        <w:r>
          <w:rPr>
            <w:rStyle w:val="Hyperlink"/>
            <w:rFonts w:eastAsia="David" w:cs="FrankRuehl" w:ascii="FrankRuehl" w:hAnsi="FrankRuehl"/>
            <w:color w:val="0000FF"/>
            <w:u w:val="single"/>
            <w:rtl w:val="true"/>
          </w:rPr>
          <w:t>)</w:t>
        </w:r>
      </w:hyperlink>
    </w:p>
    <w:p>
      <w:pPr>
        <w:pStyle w:val="Style14"/>
        <w:spacing w:lineRule="exact" w:line="240" w:before="0" w:after="120"/>
        <w:ind w:hanging="283" w:start="283" w:end="0"/>
        <w:jc w:val="both"/>
        <w:rPr>
          <w:rFonts w:ascii="FrankRuehl" w:hAnsi="FrankRuehl" w:eastAsia="David" w:cs="FrankRuehl"/>
        </w:rPr>
      </w:pPr>
      <w:hyperlink r:id="rId6">
        <w:r>
          <w:rPr>
            <w:rStyle w:val="Hyperlink"/>
            <w:rFonts w:ascii="FrankRuehl" w:hAnsi="FrankRuehl" w:eastAsia="David" w:cs="FrankRuehl"/>
            <w:color w:val="0000FF"/>
            <w:u w:val="single"/>
            <w:rtl w:val="true"/>
          </w:rPr>
          <w:t xml:space="preserve">פקודת ביטוח רכב מנועי </w:t>
        </w:r>
        <w:r>
          <w:rPr>
            <w:rStyle w:val="Hyperlink"/>
            <w:rFonts w:eastAsia="David" w:cs="FrankRuehl" w:ascii="FrankRuehl" w:hAnsi="FrankRuehl"/>
            <w:color w:val="0000FF"/>
            <w:u w:val="single"/>
            <w:rtl w:val="true"/>
          </w:rPr>
          <w:t>[</w:t>
        </w:r>
        <w:r>
          <w:rPr>
            <w:rStyle w:val="Hyperlink"/>
            <w:rFonts w:ascii="FrankRuehl" w:hAnsi="FrankRuehl" w:eastAsia="David" w:cs="FrankRuehl"/>
            <w:color w:val="0000FF"/>
            <w:u w:val="single"/>
            <w:rtl w:val="true"/>
          </w:rPr>
          <w:t>נוסח חדש</w:t>
        </w:r>
        <w:r>
          <w:rPr>
            <w:rStyle w:val="Hyperlink"/>
            <w:rFonts w:eastAsia="David" w:cs="FrankRuehl" w:ascii="FrankRuehl" w:hAnsi="FrankRuehl"/>
            <w:color w:val="0000FF"/>
            <w:u w:val="single"/>
            <w:rtl w:val="true"/>
          </w:rPr>
          <w:t xml:space="preserve">], </w:t>
        </w:r>
        <w:r>
          <w:rPr>
            <w:rStyle w:val="Hyperlink"/>
            <w:rFonts w:ascii="FrankRuehl" w:hAnsi="FrankRuehl" w:eastAsia="David" w:cs="FrankRuehl"/>
            <w:color w:val="0000FF"/>
            <w:u w:val="single"/>
            <w:rtl w:val="true"/>
          </w:rPr>
          <w:t>תש</w:t>
        </w:r>
        <w:r>
          <w:rPr>
            <w:rStyle w:val="Hyperlink"/>
            <w:rFonts w:eastAsia="David" w:cs="FrankRuehl" w:ascii="FrankRuehl" w:hAnsi="FrankRuehl"/>
            <w:color w:val="0000FF"/>
            <w:u w:val="single"/>
            <w:rtl w:val="true"/>
          </w:rPr>
          <w:t>"</w:t>
        </w:r>
        <w:r>
          <w:rPr>
            <w:rStyle w:val="Hyperlink"/>
            <w:rFonts w:ascii="FrankRuehl" w:hAnsi="FrankRuehl" w:eastAsia="David" w:cs="FrankRuehl"/>
            <w:color w:val="0000FF"/>
            <w:u w:val="single"/>
            <w:rtl w:val="true"/>
          </w:rPr>
          <w:t>ל</w:t>
        </w:r>
        <w:r>
          <w:rPr>
            <w:rStyle w:val="Hyperlink"/>
            <w:rFonts w:eastAsia="David" w:cs="FrankRuehl" w:ascii="FrankRuehl" w:hAnsi="FrankRuehl"/>
            <w:color w:val="0000FF"/>
            <w:u w:val="single"/>
            <w:rtl w:val="true"/>
          </w:rPr>
          <w:t>-</w:t>
        </w:r>
        <w:r>
          <w:rPr>
            <w:rStyle w:val="Hyperlink"/>
            <w:rFonts w:eastAsia="David" w:cs="FrankRuehl" w:ascii="FrankRuehl" w:hAnsi="FrankRuehl"/>
            <w:color w:val="0000FF"/>
            <w:u w:val="single"/>
          </w:rPr>
          <w:t>1970</w:t>
        </w:r>
      </w:hyperlink>
      <w:r>
        <w:rPr>
          <w:rFonts w:eastAsia="David" w:cs="FrankRuehl" w:ascii="FrankRuehl" w:hAnsi="FrankRuehl"/>
          <w:rtl w:val="true"/>
        </w:rPr>
        <w:t xml:space="preserve">: </w:t>
      </w:r>
      <w:r>
        <w:rPr>
          <w:rFonts w:ascii="FrankRuehl" w:hAnsi="FrankRuehl" w:eastAsia="David" w:cs="FrankRuehl"/>
          <w:rtl w:val="true"/>
        </w:rPr>
        <w:t>סע</w:t>
      </w:r>
      <w:r>
        <w:rPr>
          <w:rFonts w:eastAsia="David" w:cs="FrankRuehl" w:ascii="FrankRuehl" w:hAnsi="FrankRuehl"/>
          <w:rtl w:val="true"/>
        </w:rPr>
        <w:t xml:space="preserve">'  </w:t>
      </w:r>
      <w:hyperlink r:id="rId7">
        <w:r>
          <w:rPr>
            <w:rStyle w:val="Hyperlink"/>
            <w:rFonts w:eastAsia="David" w:cs="FrankRuehl" w:ascii="FrankRuehl" w:hAnsi="FrankRuehl"/>
            <w:color w:val="0000FF"/>
            <w:u w:val="single"/>
          </w:rPr>
          <w:t>2</w:t>
        </w:r>
        <w:r>
          <w:rPr>
            <w:rStyle w:val="Hyperlink"/>
            <w:rFonts w:eastAsia="David" w:cs="FrankRuehl" w:ascii="FrankRuehl" w:hAnsi="FrankRuehl"/>
            <w:color w:val="0000FF"/>
            <w:u w:val="single"/>
            <w:rtl w:val="true"/>
          </w:rPr>
          <w:t>(</w:t>
        </w:r>
        <w:r>
          <w:rPr>
            <w:rStyle w:val="Hyperlink"/>
            <w:rFonts w:ascii="FrankRuehl" w:hAnsi="FrankRuehl" w:eastAsia="David" w:cs="FrankRuehl"/>
            <w:color w:val="0000FF"/>
            <w:u w:val="single"/>
            <w:rtl w:val="true"/>
          </w:rPr>
          <w:t>א</w:t>
        </w:r>
        <w:r>
          <w:rPr>
            <w:rStyle w:val="Hyperlink"/>
            <w:rFonts w:eastAsia="David" w:cs="FrankRuehl" w:ascii="FrankRuehl" w:hAnsi="FrankRuehl"/>
            <w:color w:val="0000FF"/>
            <w:u w:val="single"/>
            <w:rtl w:val="true"/>
          </w:rPr>
          <w:t>)</w:t>
        </w:r>
      </w:hyperlink>
      <w:r>
        <w:rPr>
          <w:rFonts w:eastAsia="David" w:cs="FrankRuehl" w:ascii="FrankRuehl" w:hAnsi="FrankRuehl"/>
          <w:rtl w:val="true"/>
        </w:rPr>
        <w:t xml:space="preserve">, </w:t>
      </w:r>
      <w:hyperlink r:id="rId8">
        <w:r>
          <w:rPr>
            <w:rStyle w:val="Hyperlink"/>
            <w:rFonts w:eastAsia="David" w:cs="FrankRuehl" w:ascii="FrankRuehl" w:hAnsi="FrankRuehl"/>
            <w:color w:val="0000FF"/>
            <w:u w:val="single"/>
          </w:rPr>
          <w:t>2</w:t>
        </w:r>
        <w:r>
          <w:rPr>
            <w:rStyle w:val="Hyperlink"/>
            <w:rFonts w:eastAsia="David" w:cs="FrankRuehl" w:ascii="FrankRuehl" w:hAnsi="FrankRuehl"/>
            <w:color w:val="0000FF"/>
            <w:u w:val="single"/>
            <w:rtl w:val="true"/>
          </w:rPr>
          <w:t>(</w:t>
        </w:r>
        <w:r>
          <w:rPr>
            <w:rStyle w:val="Hyperlink"/>
            <w:rFonts w:ascii="FrankRuehl" w:hAnsi="FrankRuehl" w:eastAsia="David" w:cs="FrankRuehl"/>
            <w:color w:val="0000FF"/>
            <w:u w:val="single"/>
            <w:rtl w:val="true"/>
          </w:rPr>
          <w:t>ב</w:t>
        </w:r>
        <w:r>
          <w:rPr>
            <w:rStyle w:val="Hyperlink"/>
            <w:rFonts w:eastAsia="David" w:cs="FrankRuehl" w:ascii="FrankRuehl" w:hAnsi="FrankRuehl"/>
            <w:color w:val="0000FF"/>
            <w:u w:val="single"/>
            <w:rtl w:val="true"/>
          </w:rPr>
          <w:t>)</w:t>
        </w:r>
      </w:hyperlink>
    </w:p>
    <w:p>
      <w:pPr>
        <w:pStyle w:val="Style14"/>
        <w:spacing w:lineRule="exact" w:line="240" w:before="0" w:after="120"/>
        <w:ind w:hanging="283" w:start="283" w:end="0"/>
        <w:jc w:val="both"/>
        <w:rPr>
          <w:rFonts w:ascii="FrankRuehl" w:hAnsi="FrankRuehl" w:eastAsia="David" w:cs="FrankRuehl"/>
        </w:rPr>
      </w:pPr>
      <w:r>
        <w:rPr>
          <w:rFonts w:eastAsia="David" w:cs="FrankRuehl" w:ascii="FrankRuehl" w:hAnsi="FrankRuehl"/>
          <w:rtl w:val="true"/>
        </w:rPr>
      </w:r>
    </w:p>
    <w:p>
      <w:pPr>
        <w:pStyle w:val="Style14"/>
        <w:ind w:end="0"/>
        <w:jc w:val="center"/>
        <w:rPr>
          <w:rFonts w:ascii="Arial" w:hAnsi="Arial" w:eastAsia="David" w:cs="Arial"/>
          <w:sz w:val="28"/>
          <w:szCs w:val="28"/>
        </w:rPr>
      </w:pPr>
      <w:r>
        <w:rPr>
          <w:rFonts w:eastAsia="David" w:cs="Arial" w:ascii="Arial" w:hAnsi="Arial"/>
          <w:sz w:val="28"/>
          <w:szCs w:val="28"/>
          <w:rtl w:val="true"/>
        </w:rPr>
      </w:r>
      <w:bookmarkStart w:id="4" w:name="LawTable_End"/>
      <w:bookmarkStart w:id="5" w:name="LawTable_End"/>
      <w:bookmarkEnd w:id="5"/>
    </w:p>
    <w:p>
      <w:pPr>
        <w:pStyle w:val="Style14"/>
        <w:ind w:end="0"/>
        <w:jc w:val="center"/>
        <w:rPr>
          <w:rFonts w:ascii="Arial" w:hAnsi="Arial" w:eastAsia="David" w:cs="Arial"/>
          <w:b/>
          <w:bCs/>
          <w:sz w:val="28"/>
          <w:szCs w:val="28"/>
        </w:rPr>
      </w:pPr>
      <w:r>
        <w:rPr>
          <w:rFonts w:eastAsia="David" w:cs="Arial" w:ascii="Arial" w:hAnsi="Arial"/>
          <w:b/>
          <w:bCs/>
          <w:sz w:val="28"/>
          <w:szCs w:val="28"/>
          <w:rtl w:val="true"/>
        </w:rPr>
      </w:r>
    </w:p>
    <w:p>
      <w:pPr>
        <w:pStyle w:val="Style14"/>
        <w:ind w:end="0"/>
        <w:jc w:val="center"/>
        <w:rPr>
          <w:rFonts w:ascii="Arial" w:hAnsi="Arial" w:eastAsia="David" w:cs="Arial"/>
          <w:b/>
          <w:bCs/>
          <w:sz w:val="28"/>
          <w:szCs w:val="28"/>
        </w:rPr>
      </w:pPr>
      <w:r>
        <w:rPr>
          <w:rFonts w:eastAsia="David" w:cs="Arial" w:ascii="Arial" w:hAnsi="Arial"/>
          <w:b/>
          <w:bCs/>
          <w:sz w:val="28"/>
          <w:szCs w:val="28"/>
          <w:rtl w:val="true"/>
        </w:rPr>
      </w:r>
    </w:p>
    <w:p>
      <w:pPr>
        <w:pStyle w:val="Style14"/>
        <w:ind w:end="0"/>
        <w:jc w:val="center"/>
        <w:rPr>
          <w:rFonts w:ascii="Arial" w:hAnsi="Arial" w:eastAsia="David" w:cs="Arial"/>
          <w:b/>
          <w:bCs/>
          <w:sz w:val="28"/>
          <w:szCs w:val="28"/>
        </w:rPr>
      </w:pPr>
      <w:r>
        <w:rPr>
          <w:rFonts w:eastAsia="David" w:cs="Arial" w:ascii="Arial" w:hAnsi="Arial"/>
          <w:b/>
          <w:bCs/>
          <w:sz w:val="28"/>
          <w:szCs w:val="28"/>
          <w:rtl w:val="true"/>
        </w:rPr>
      </w:r>
    </w:p>
    <w:p>
      <w:pPr>
        <w:pStyle w:val="Style14"/>
        <w:ind w:end="0"/>
        <w:jc w:val="center"/>
        <w:rPr>
          <w:rFonts w:ascii="Arial" w:hAnsi="Arial" w:eastAsia="David" w:cs="Arial"/>
          <w:b/>
          <w:bCs/>
          <w:sz w:val="28"/>
          <w:szCs w:val="28"/>
        </w:rPr>
      </w:pPr>
      <w:r>
        <w:rPr>
          <w:rFonts w:eastAsia="David" w:cs="Arial" w:ascii="Arial" w:hAnsi="Arial"/>
          <w:b/>
          <w:bCs/>
          <w:sz w:val="28"/>
          <w:szCs w:val="28"/>
          <w:rtl w:val="true"/>
        </w:rPr>
      </w:r>
    </w:p>
    <w:p>
      <w:pPr>
        <w:pStyle w:val="Style14"/>
        <w:ind w:end="0"/>
        <w:jc w:val="center"/>
        <w:rPr>
          <w:rFonts w:ascii="Arial" w:hAnsi="Arial" w:eastAsia="David" w:cs="Arial"/>
          <w:b/>
          <w:bCs/>
          <w:sz w:val="28"/>
          <w:szCs w:val="28"/>
        </w:rPr>
      </w:pPr>
      <w:r>
        <w:rPr>
          <w:rFonts w:eastAsia="David" w:cs="Arial" w:ascii="Arial" w:hAnsi="Arial"/>
          <w:b/>
          <w:bCs/>
          <w:sz w:val="28"/>
          <w:szCs w:val="28"/>
          <w:rtl w:val="true"/>
        </w:rPr>
      </w:r>
    </w:p>
    <w:p>
      <w:pPr>
        <w:pStyle w:val="Style14"/>
        <w:ind w:end="0"/>
        <w:jc w:val="center"/>
        <w:rPr>
          <w:rFonts w:ascii="Arial" w:hAnsi="Arial" w:eastAsia="David" w:cs="Arial"/>
          <w:b/>
          <w:bCs/>
          <w:sz w:val="28"/>
          <w:szCs w:val="28"/>
          <w:u w:val="single"/>
        </w:rPr>
      </w:pPr>
      <w:bookmarkStart w:id="6" w:name="PsakDin"/>
      <w:bookmarkEnd w:id="6"/>
      <w:r>
        <w:rPr>
          <w:rFonts w:ascii="Arial" w:hAnsi="Arial" w:eastAsia="David" w:cs="Arial"/>
          <w:b/>
          <w:b/>
          <w:bCs/>
          <w:sz w:val="28"/>
          <w:sz w:val="28"/>
          <w:szCs w:val="28"/>
          <w:u w:val="single"/>
          <w:rtl w:val="true"/>
        </w:rPr>
        <w:t>גזר דין</w:t>
      </w:r>
    </w:p>
    <w:p>
      <w:pPr>
        <w:pStyle w:val="Style14"/>
        <w:ind w:end="0"/>
        <w:jc w:val="both"/>
        <w:rPr>
          <w:rFonts w:ascii="David" w:hAnsi="David" w:eastAsia="David" w:cs="David"/>
          <w:b/>
          <w:bCs/>
          <w:sz w:val="28"/>
          <w:szCs w:val="28"/>
          <w:u w:val="single"/>
        </w:rPr>
      </w:pPr>
      <w:r>
        <w:rPr>
          <w:rFonts w:eastAsia="David" w:cs="David" w:ascii="David" w:hAnsi="David"/>
          <w:b/>
          <w:bCs/>
          <w:sz w:val="28"/>
          <w:szCs w:val="28"/>
          <w:u w:val="single"/>
          <w:rtl w:val="true"/>
        </w:rPr>
      </w:r>
      <w:bookmarkStart w:id="7" w:name="PsakDin"/>
      <w:bookmarkStart w:id="8" w:name="PsakDin"/>
      <w:bookmarkEnd w:id="8"/>
    </w:p>
    <w:p>
      <w:pPr>
        <w:pStyle w:val="Style14"/>
        <w:ind w:hanging="720" w:start="720" w:end="0"/>
        <w:jc w:val="both"/>
        <w:rPr/>
      </w:pPr>
      <w:r>
        <w:rPr/>
        <w:t>1</w:t>
      </w:r>
      <w:r>
        <w:rPr>
          <w:rtl w:val="true"/>
        </w:rPr>
        <w:t>.</w:t>
        <w:tab/>
      </w:r>
      <w:r>
        <w:rPr>
          <w:rtl w:val="true"/>
        </w:rPr>
        <w:t>הנאשם לפניי הורשע</w:t>
      </w:r>
      <w:r>
        <w:rPr>
          <w:rtl w:val="true"/>
        </w:rPr>
        <w:t xml:space="preserve">, </w:t>
      </w:r>
      <w:r>
        <w:rPr>
          <w:rtl w:val="true"/>
        </w:rPr>
        <w:t>על</w:t>
      </w:r>
      <w:r>
        <w:rPr>
          <w:rtl w:val="true"/>
        </w:rPr>
        <w:t>-</w:t>
      </w:r>
      <w:r>
        <w:rPr>
          <w:rtl w:val="true"/>
        </w:rPr>
        <w:t xml:space="preserve">פי הודאתו בעובדות כתב האישום המתוקן מיום </w:t>
      </w:r>
      <w:r>
        <w:rPr/>
        <w:t>31.10.11</w:t>
      </w:r>
      <w:r>
        <w:rPr>
          <w:rtl w:val="true"/>
        </w:rPr>
        <w:t xml:space="preserve"> (</w:t>
      </w:r>
      <w:r>
        <w:rPr>
          <w:rtl w:val="true"/>
        </w:rPr>
        <w:t>להלן</w:t>
      </w:r>
      <w:r>
        <w:rPr>
          <w:rtl w:val="true"/>
        </w:rPr>
        <w:t>: "</w:t>
      </w:r>
      <w:r>
        <w:rPr>
          <w:rtl w:val="true"/>
        </w:rPr>
        <w:t>כתב האישום</w:t>
      </w:r>
      <w:r>
        <w:rPr>
          <w:rtl w:val="true"/>
        </w:rPr>
        <w:t xml:space="preserve">") </w:t>
      </w:r>
      <w:r>
        <w:rPr>
          <w:rtl w:val="true"/>
        </w:rPr>
        <w:t xml:space="preserve">בעבירות של </w:t>
      </w:r>
      <w:r>
        <w:rPr>
          <w:u w:val="single"/>
          <w:rtl w:val="true"/>
        </w:rPr>
        <w:t>סיכון חיי אדם במזיד בנתיב תחבורה</w:t>
      </w:r>
      <w:r>
        <w:rPr>
          <w:rtl w:val="true"/>
        </w:rPr>
        <w:t xml:space="preserve">, </w:t>
      </w:r>
      <w:r>
        <w:rPr>
          <w:rtl w:val="true"/>
        </w:rPr>
        <w:t xml:space="preserve">לפי </w:t>
      </w:r>
      <w:hyperlink r:id="rId9">
        <w:r>
          <w:rPr>
            <w:rStyle w:val="Hyperlink"/>
            <w:color w:val="0000FF"/>
            <w:u w:val="single"/>
            <w:rtl w:val="true"/>
          </w:rPr>
          <w:t xml:space="preserve">סעיף </w:t>
        </w:r>
        <w:r>
          <w:rPr>
            <w:rStyle w:val="Hyperlink"/>
            <w:color w:val="0000FF"/>
            <w:u w:val="single"/>
          </w:rPr>
          <w:t>332</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10">
        <w:r>
          <w:rPr>
            <w:rStyle w:val="Hyperlink"/>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החוק</w:t>
      </w:r>
      <w:r>
        <w:rPr>
          <w:rtl w:val="true"/>
        </w:rPr>
        <w:t xml:space="preserve">"); </w:t>
      </w:r>
      <w:r>
        <w:rPr>
          <w:u w:val="single"/>
          <w:rtl w:val="true"/>
        </w:rPr>
        <w:t>נשיאה והובלת נשק ותחמושת</w:t>
      </w:r>
      <w:r>
        <w:rPr>
          <w:rtl w:val="true"/>
        </w:rPr>
        <w:t xml:space="preserve">, </w:t>
      </w:r>
      <w:r>
        <w:rPr>
          <w:rtl w:val="true"/>
        </w:rPr>
        <w:t xml:space="preserve">לפי </w:t>
      </w:r>
      <w:hyperlink r:id="rId11">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רישא לחוק</w:t>
      </w:r>
      <w:r>
        <w:rPr>
          <w:rtl w:val="true"/>
        </w:rPr>
        <w:t xml:space="preserve">; </w:t>
      </w:r>
      <w:r>
        <w:rPr>
          <w:u w:val="single"/>
          <w:rtl w:val="true"/>
        </w:rPr>
        <w:t>הפרעה לשוטר בעת מילוי תפקידו</w:t>
      </w:r>
      <w:r>
        <w:rPr>
          <w:rtl w:val="true"/>
        </w:rPr>
        <w:t xml:space="preserve">, </w:t>
      </w:r>
      <w:r>
        <w:rPr>
          <w:rtl w:val="true"/>
        </w:rPr>
        <w:t xml:space="preserve">לפי </w:t>
      </w:r>
      <w:hyperlink r:id="rId12">
        <w:r>
          <w:rPr>
            <w:rStyle w:val="Hyperlink"/>
            <w:color w:val="0000FF"/>
            <w:u w:val="single"/>
            <w:rtl w:val="true"/>
          </w:rPr>
          <w:t xml:space="preserve">סעיף </w:t>
        </w:r>
        <w:r>
          <w:rPr>
            <w:rStyle w:val="Hyperlink"/>
            <w:color w:val="0000FF"/>
            <w:u w:val="single"/>
          </w:rPr>
          <w:t>275</w:t>
        </w:r>
      </w:hyperlink>
      <w:r>
        <w:rPr>
          <w:rtl w:val="true"/>
        </w:rPr>
        <w:t xml:space="preserve"> </w:t>
      </w:r>
      <w:r>
        <w:rPr>
          <w:rtl w:val="true"/>
        </w:rPr>
        <w:t>לחוק</w:t>
      </w:r>
      <w:r>
        <w:rPr>
          <w:rtl w:val="true"/>
        </w:rPr>
        <w:t xml:space="preserve">; </w:t>
      </w:r>
      <w:r>
        <w:rPr>
          <w:u w:val="single"/>
          <w:rtl w:val="true"/>
        </w:rPr>
        <w:t>ונהיגה ללא פוליסת ביטוח</w:t>
      </w:r>
      <w:r>
        <w:rPr>
          <w:rtl w:val="true"/>
        </w:rPr>
        <w:t xml:space="preserve">, </w:t>
      </w:r>
      <w:r>
        <w:rPr>
          <w:rtl w:val="true"/>
        </w:rPr>
        <w:t xml:space="preserve">לפי </w:t>
      </w:r>
      <w:hyperlink r:id="rId13">
        <w:r>
          <w:rPr>
            <w:rStyle w:val="Hyperlink"/>
            <w:color w:val="0000FF"/>
            <w:u w:val="single"/>
            <w:rtl w:val="true"/>
          </w:rPr>
          <w:t xml:space="preserve">סעיף </w:t>
        </w:r>
        <w:r>
          <w:rPr>
            <w:rStyle w:val="Hyperlink"/>
            <w:color w:val="0000FF"/>
            <w:u w:val="single"/>
          </w:rPr>
          <w:t>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 xml:space="preserve">- </w:t>
      </w:r>
      <w:hyperlink r:id="rId14">
        <w:r>
          <w:rPr>
            <w:rStyle w:val="Hyperlink"/>
            <w:color w:val="0000FF"/>
            <w:u w:val="single"/>
          </w:rPr>
          <w:t>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5">
        <w:r>
          <w:rPr>
            <w:rStyle w:val="Hyperlink"/>
            <w:rtl w:val="true"/>
          </w:rPr>
          <w:t>פקודת ביטוח רכב מנועי</w:t>
        </w:r>
      </w:hyperlink>
      <w:r>
        <w:rPr>
          <w:rtl w:val="true"/>
        </w:rPr>
        <w:t xml:space="preserve"> </w:t>
      </w:r>
      <w:r>
        <w:rPr>
          <w:rtl w:val="true"/>
        </w:rPr>
        <w:t>[</w:t>
      </w:r>
      <w:r>
        <w:rPr>
          <w:rtl w:val="true"/>
        </w:rPr>
        <w:t>נוסח חדש</w:t>
      </w:r>
      <w:r>
        <w:rPr>
          <w:rtl w:val="true"/>
        </w:rPr>
        <w:t xml:space="preserve">], </w:t>
      </w:r>
      <w:r>
        <w:rPr>
          <w:rtl w:val="true"/>
        </w:rPr>
        <w:t>תש</w:t>
      </w:r>
      <w:r>
        <w:rPr>
          <w:rtl w:val="true"/>
        </w:rPr>
        <w:t>"</w:t>
      </w:r>
      <w:r>
        <w:rPr>
          <w:rtl w:val="true"/>
        </w:rPr>
        <w:t>ל</w:t>
      </w:r>
      <w:r>
        <w:rPr>
          <w:rtl w:val="true"/>
        </w:rPr>
        <w:t>-</w:t>
      </w:r>
      <w:r>
        <w:rPr/>
        <w:t>1970</w:t>
      </w:r>
      <w:r>
        <w:rPr>
          <w:rtl w:val="true"/>
        </w:rPr>
        <w:t>.</w:t>
      </w:r>
    </w:p>
    <w:p>
      <w:pPr>
        <w:pStyle w:val="Style14"/>
        <w:ind w:end="0"/>
        <w:jc w:val="both"/>
        <w:rPr/>
      </w:pPr>
      <w:r>
        <w:rPr>
          <w:rtl w:val="true"/>
        </w:rPr>
      </w:r>
    </w:p>
    <w:p>
      <w:pPr>
        <w:pStyle w:val="Style14"/>
        <w:ind w:hanging="720" w:start="720" w:end="0"/>
        <w:jc w:val="both"/>
        <w:rPr/>
      </w:pPr>
      <w:r>
        <w:rPr/>
        <w:t>2</w:t>
      </w:r>
      <w:r>
        <w:rPr>
          <w:rtl w:val="true"/>
        </w:rPr>
        <w:t>.</w:t>
        <w:tab/>
      </w:r>
      <w:r>
        <w:rPr>
          <w:rtl w:val="true"/>
        </w:rPr>
        <w:t>על</w:t>
      </w:r>
      <w:r>
        <w:rPr>
          <w:rtl w:val="true"/>
        </w:rPr>
        <w:t>-</w:t>
      </w:r>
      <w:r>
        <w:rPr>
          <w:rtl w:val="true"/>
        </w:rPr>
        <w:t>פי המפורט בכתב האישום</w:t>
      </w:r>
      <w:r>
        <w:rPr>
          <w:rtl w:val="true"/>
        </w:rPr>
        <w:t xml:space="preserve">, </w:t>
      </w:r>
      <w:r>
        <w:rPr>
          <w:rtl w:val="true"/>
        </w:rPr>
        <w:t xml:space="preserve">ביום </w:t>
      </w:r>
      <w:r>
        <w:rPr/>
        <w:t>14.8.11</w:t>
      </w:r>
      <w:r>
        <w:rPr>
          <w:rtl w:val="true"/>
        </w:rPr>
        <w:t xml:space="preserve">, </w:t>
      </w:r>
      <w:r>
        <w:rPr>
          <w:rtl w:val="true"/>
        </w:rPr>
        <w:t xml:space="preserve">סמוך לשעה </w:t>
      </w:r>
      <w:r>
        <w:rPr/>
        <w:t>23:30</w:t>
      </w:r>
      <w:r>
        <w:rPr>
          <w:rtl w:val="true"/>
        </w:rPr>
        <w:t xml:space="preserve">, </w:t>
      </w:r>
      <w:r>
        <w:rPr>
          <w:rtl w:val="true"/>
        </w:rPr>
        <w:t xml:space="preserve">נהג הנאשם ברכס מסוג מאזדה שמספרו </w:t>
      </w:r>
      <w:r>
        <w:rPr/>
        <w:t>16-901-61</w:t>
      </w:r>
      <w:r>
        <w:rPr>
          <w:rtl w:val="true"/>
        </w:rPr>
        <w:t xml:space="preserve">, </w:t>
      </w:r>
      <w:r>
        <w:rPr>
          <w:rtl w:val="true"/>
        </w:rPr>
        <w:t xml:space="preserve">בנסיעה על כביש </w:t>
      </w:r>
      <w:r>
        <w:rPr/>
        <w:t>65</w:t>
      </w:r>
      <w:r>
        <w:rPr>
          <w:rtl w:val="true"/>
        </w:rPr>
        <w:t xml:space="preserve"> </w:t>
      </w:r>
      <w:r>
        <w:rPr>
          <w:rtl w:val="true"/>
        </w:rPr>
        <w:t>מכיוון כללי צומת מגידו לכיוון כללי עפולה</w:t>
      </w:r>
      <w:r>
        <w:rPr>
          <w:rtl w:val="true"/>
        </w:rPr>
        <w:t xml:space="preserve">. </w:t>
      </w:r>
      <w:r>
        <w:rPr>
          <w:rtl w:val="true"/>
        </w:rPr>
        <w:t xml:space="preserve">הנאשם עשה כן כשאין ברשותו ביטוח בר תוקף לרכב וכשהוא נושא אקדח ובו מחסנית שהכילה </w:t>
      </w:r>
      <w:r>
        <w:rPr/>
        <w:t>6</w:t>
      </w:r>
      <w:r>
        <w:rPr>
          <w:rtl w:val="true"/>
        </w:rPr>
        <w:t xml:space="preserve"> </w:t>
      </w:r>
      <w:r>
        <w:rPr>
          <w:rtl w:val="true"/>
        </w:rPr>
        <w:t>כדורים</w:t>
      </w:r>
      <w:r>
        <w:rPr>
          <w:rtl w:val="true"/>
        </w:rPr>
        <w:t xml:space="preserve">, </w:t>
      </w:r>
      <w:r>
        <w:rPr>
          <w:rtl w:val="true"/>
        </w:rPr>
        <w:t>בלא רשות על</w:t>
      </w:r>
      <w:r>
        <w:rPr>
          <w:rtl w:val="true"/>
        </w:rPr>
        <w:t>-</w:t>
      </w:r>
      <w:r>
        <w:rPr>
          <w:rtl w:val="true"/>
        </w:rPr>
        <w:t>פי דין להחזיקם</w:t>
      </w:r>
      <w:r>
        <w:rPr>
          <w:rtl w:val="true"/>
        </w:rPr>
        <w:t xml:space="preserve">. </w:t>
      </w:r>
      <w:r>
        <w:rPr>
          <w:rtl w:val="true"/>
        </w:rPr>
        <w:t>הנאשם נהג במהירות מופרזת</w:t>
      </w:r>
      <w:r>
        <w:rPr>
          <w:rtl w:val="true"/>
        </w:rPr>
        <w:t xml:space="preserve">, </w:t>
      </w:r>
      <w:r>
        <w:rPr>
          <w:rtl w:val="true"/>
        </w:rPr>
        <w:t xml:space="preserve">וביצע עקיפות מסוכנות תוך שהוא מאלץ </w:t>
      </w:r>
      <w:r>
        <w:rPr/>
        <w:t>4</w:t>
      </w:r>
      <w:r>
        <w:rPr>
          <w:rtl w:val="true"/>
        </w:rPr>
        <w:t xml:space="preserve"> </w:t>
      </w:r>
      <w:r>
        <w:rPr>
          <w:rtl w:val="true"/>
        </w:rPr>
        <w:t>נהגים לסטות עם רכבם לשוליים</w:t>
      </w:r>
      <w:r>
        <w:rPr>
          <w:rtl w:val="true"/>
        </w:rPr>
        <w:t>.</w:t>
      </w:r>
    </w:p>
    <w:p>
      <w:pPr>
        <w:pStyle w:val="Style14"/>
        <w:ind w:start="720" w:end="0"/>
        <w:jc w:val="both"/>
        <w:rPr/>
      </w:pPr>
      <w:r>
        <w:rPr>
          <w:rtl w:val="true"/>
        </w:rPr>
        <w:t>שוטר אשר הבחין בנאשם התקרב אליו</w:t>
      </w:r>
      <w:r>
        <w:rPr>
          <w:rtl w:val="true"/>
        </w:rPr>
        <w:t xml:space="preserve">. </w:t>
      </w:r>
      <w:r>
        <w:rPr>
          <w:rtl w:val="true"/>
        </w:rPr>
        <w:t xml:space="preserve">הנאשם פנה לדרך עפר המקבילה לכביש </w:t>
      </w:r>
      <w:r>
        <w:rPr/>
        <w:t>65</w:t>
      </w:r>
      <w:r>
        <w:rPr>
          <w:rtl w:val="true"/>
        </w:rPr>
        <w:t xml:space="preserve"> </w:t>
      </w:r>
      <w:r>
        <w:rPr>
          <w:rtl w:val="true"/>
        </w:rPr>
        <w:t>והשוטר הפעיל אורות כחולים וסירנה וסימן לנאשם לעצור</w:t>
      </w:r>
      <w:r>
        <w:rPr>
          <w:rtl w:val="true"/>
        </w:rPr>
        <w:t xml:space="preserve">. </w:t>
      </w:r>
      <w:r>
        <w:rPr>
          <w:rtl w:val="true"/>
        </w:rPr>
        <w:t>הנאשם לא נענה לקריאת השוטר והמשיך בנסיעתו</w:t>
      </w:r>
      <w:r>
        <w:rPr>
          <w:rtl w:val="true"/>
        </w:rPr>
        <w:t xml:space="preserve">. </w:t>
      </w:r>
      <w:r>
        <w:rPr>
          <w:rtl w:val="true"/>
        </w:rPr>
        <w:t xml:space="preserve">בשלב מסוים עלה הנאשם בחזרה לכביש </w:t>
      </w:r>
      <w:r>
        <w:rPr/>
        <w:t>65</w:t>
      </w:r>
      <w:r>
        <w:rPr>
          <w:rtl w:val="true"/>
        </w:rPr>
        <w:t xml:space="preserve">, </w:t>
      </w:r>
      <w:r>
        <w:rPr>
          <w:rtl w:val="true"/>
        </w:rPr>
        <w:t xml:space="preserve">והמשיך לנסוע על כביש </w:t>
      </w:r>
      <w:r>
        <w:rPr/>
        <w:t>60</w:t>
      </w:r>
      <w:r>
        <w:rPr>
          <w:rtl w:val="true"/>
        </w:rPr>
        <w:t xml:space="preserve"> </w:t>
      </w:r>
      <w:r>
        <w:rPr>
          <w:rtl w:val="true"/>
        </w:rPr>
        <w:t>מכיוון עפולה לכיוון נצרת</w:t>
      </w:r>
      <w:r>
        <w:rPr>
          <w:rtl w:val="true"/>
        </w:rPr>
        <w:t xml:space="preserve">. </w:t>
      </w:r>
      <w:r>
        <w:rPr>
          <w:rtl w:val="true"/>
        </w:rPr>
        <w:t>ניידת משטרה נוספת שהצטרפה למרדף הורתה לנאשם לעצור</w:t>
      </w:r>
      <w:r>
        <w:rPr>
          <w:rtl w:val="true"/>
        </w:rPr>
        <w:t xml:space="preserve">, </w:t>
      </w:r>
      <w:r>
        <w:rPr>
          <w:rtl w:val="true"/>
        </w:rPr>
        <w:t>אך הנאשם לא שעה לקריאותיה והמשיך בנסיעה במהירות גבוהה ותוך ביצוע עקיפות מסוכנות</w:t>
      </w:r>
      <w:r>
        <w:rPr>
          <w:rtl w:val="true"/>
        </w:rPr>
        <w:t xml:space="preserve">. </w:t>
      </w:r>
      <w:r>
        <w:rPr>
          <w:rtl w:val="true"/>
        </w:rPr>
        <w:t>הנאשם נכנס לצומת אכסאל ברמזור אדום</w:t>
      </w:r>
      <w:r>
        <w:rPr>
          <w:rtl w:val="true"/>
        </w:rPr>
        <w:t xml:space="preserve">, </w:t>
      </w:r>
      <w:r>
        <w:rPr>
          <w:rtl w:val="true"/>
        </w:rPr>
        <w:t>ביצע שם פניית פרסה והמשיך בנסיעה לכיוון עפולה</w:t>
      </w:r>
      <w:r>
        <w:rPr>
          <w:rtl w:val="true"/>
        </w:rPr>
        <w:t xml:space="preserve">. </w:t>
      </w:r>
      <w:r>
        <w:rPr>
          <w:rtl w:val="true"/>
        </w:rPr>
        <w:t>בהגיעו לצומת תל עדשים ביצע שוב פניית פרסה כשהרמזור בכיוון נסיעתו אדום</w:t>
      </w:r>
      <w:r>
        <w:rPr>
          <w:rtl w:val="true"/>
        </w:rPr>
        <w:t xml:space="preserve">, </w:t>
      </w:r>
      <w:r>
        <w:rPr>
          <w:rtl w:val="true"/>
        </w:rPr>
        <w:t>והמשיך בנסיעה לכיוון נצרת</w:t>
      </w:r>
      <w:r>
        <w:rPr>
          <w:rtl w:val="true"/>
        </w:rPr>
        <w:t xml:space="preserve">. </w:t>
      </w:r>
      <w:r>
        <w:rPr>
          <w:rtl w:val="true"/>
        </w:rPr>
        <w:t>הנאשם חזר על מעשיו אלה פעם נוספת</w:t>
      </w:r>
      <w:r>
        <w:rPr>
          <w:rtl w:val="true"/>
        </w:rPr>
        <w:t xml:space="preserve">, </w:t>
      </w:r>
      <w:r>
        <w:rPr>
          <w:rtl w:val="true"/>
        </w:rPr>
        <w:t xml:space="preserve">ולבסוף המשיך בנסיעתו על כביש </w:t>
      </w:r>
      <w:r>
        <w:rPr/>
        <w:t>60</w:t>
      </w:r>
      <w:r>
        <w:rPr>
          <w:rtl w:val="true"/>
        </w:rPr>
        <w:t xml:space="preserve"> </w:t>
      </w:r>
      <w:r>
        <w:rPr>
          <w:rtl w:val="true"/>
        </w:rPr>
        <w:t>לכיוון נצרת</w:t>
      </w:r>
      <w:r>
        <w:rPr>
          <w:rtl w:val="true"/>
        </w:rPr>
        <w:t xml:space="preserve">. </w:t>
      </w:r>
      <w:r>
        <w:rPr>
          <w:rtl w:val="true"/>
        </w:rPr>
        <w:t>בצומת המוסכים בנצרת המתינה לנאשם ניידת משטרה ושוטר שעמד בצומת סימן לו לעצור באמצעות פנס</w:t>
      </w:r>
      <w:r>
        <w:rPr>
          <w:rtl w:val="true"/>
        </w:rPr>
        <w:t xml:space="preserve">, </w:t>
      </w:r>
      <w:r>
        <w:rPr>
          <w:rtl w:val="true"/>
        </w:rPr>
        <w:t>אולם הנאשם המשיך בנסיעה לעבר השוטר</w:t>
      </w:r>
      <w:r>
        <w:rPr>
          <w:rtl w:val="true"/>
        </w:rPr>
        <w:t xml:space="preserve">, </w:t>
      </w:r>
      <w:r>
        <w:rPr>
          <w:rtl w:val="true"/>
        </w:rPr>
        <w:t>שחש סכנה לחייו</w:t>
      </w:r>
      <w:r>
        <w:rPr>
          <w:rtl w:val="true"/>
        </w:rPr>
        <w:t xml:space="preserve">, </w:t>
      </w:r>
      <w:r>
        <w:rPr>
          <w:rtl w:val="true"/>
        </w:rPr>
        <w:t>שלף אקדחו וירה באוויר</w:t>
      </w:r>
      <w:r>
        <w:rPr>
          <w:rtl w:val="true"/>
        </w:rPr>
        <w:t xml:space="preserve">. </w:t>
      </w:r>
      <w:r>
        <w:rPr>
          <w:rtl w:val="true"/>
        </w:rPr>
        <w:t>הנאשם הסיט רכבו שמאלה</w:t>
      </w:r>
      <w:r>
        <w:rPr>
          <w:rtl w:val="true"/>
        </w:rPr>
        <w:t xml:space="preserve">, </w:t>
      </w:r>
      <w:r>
        <w:rPr>
          <w:rtl w:val="true"/>
        </w:rPr>
        <w:t>עלה על אי תנועה</w:t>
      </w:r>
      <w:r>
        <w:rPr>
          <w:rtl w:val="true"/>
        </w:rPr>
        <w:t xml:space="preserve">, </w:t>
      </w:r>
      <w:r>
        <w:rPr>
          <w:rtl w:val="true"/>
        </w:rPr>
        <w:t>נכנס אל נתיב הנסיעה הנגדי ונסע בניגוד לכיוון התנועה לכיוון יפיע</w:t>
      </w:r>
      <w:r>
        <w:rPr>
          <w:rtl w:val="true"/>
        </w:rPr>
        <w:t xml:space="preserve">. </w:t>
      </w:r>
      <w:r>
        <w:rPr>
          <w:rtl w:val="true"/>
        </w:rPr>
        <w:t>הנאשם אילץ ניידת משטרה שהגיעה מכיוון יפיע לסטות מנתיבה ולבלום</w:t>
      </w:r>
      <w:r>
        <w:rPr>
          <w:rtl w:val="true"/>
        </w:rPr>
        <w:t xml:space="preserve">, </w:t>
      </w:r>
      <w:r>
        <w:rPr>
          <w:rtl w:val="true"/>
        </w:rPr>
        <w:t>כשהוא נכנס אל נתיב נסיעתה וממשיך במנוסתו</w:t>
      </w:r>
      <w:r>
        <w:rPr>
          <w:rtl w:val="true"/>
        </w:rPr>
        <w:t>.</w:t>
      </w:r>
    </w:p>
    <w:p>
      <w:pPr>
        <w:pStyle w:val="Style14"/>
        <w:ind w:start="720" w:end="0"/>
        <w:jc w:val="both"/>
        <w:rPr/>
      </w:pPr>
      <w:r>
        <w:rPr>
          <w:rtl w:val="true"/>
        </w:rPr>
        <w:t>בהמשך עצר הנאשם את הרכב והחל במנוסה רגלית כשאקדחו בידו</w:t>
      </w:r>
      <w:r>
        <w:rPr>
          <w:rtl w:val="true"/>
        </w:rPr>
        <w:t xml:space="preserve">. </w:t>
      </w:r>
      <w:r>
        <w:rPr>
          <w:rtl w:val="true"/>
        </w:rPr>
        <w:t>אחד השוטרים שרדף אחריו השיגו</w:t>
      </w:r>
      <w:r>
        <w:rPr>
          <w:rtl w:val="true"/>
        </w:rPr>
        <w:t xml:space="preserve">, </w:t>
      </w:r>
      <w:r>
        <w:rPr>
          <w:rtl w:val="true"/>
        </w:rPr>
        <w:t>ובמהלך מעצרו החל הנאשם להשתולל</w:t>
      </w:r>
      <w:r>
        <w:rPr>
          <w:rtl w:val="true"/>
        </w:rPr>
        <w:t xml:space="preserve">, </w:t>
      </w:r>
      <w:r>
        <w:rPr>
          <w:rtl w:val="true"/>
        </w:rPr>
        <w:t>דחף את השוטר והתנגד לכבילתו</w:t>
      </w:r>
      <w:r>
        <w:rPr>
          <w:rtl w:val="true"/>
        </w:rPr>
        <w:t>.</w:t>
      </w:r>
    </w:p>
    <w:p>
      <w:pPr>
        <w:pStyle w:val="Style14"/>
        <w:ind w:end="0"/>
        <w:jc w:val="both"/>
        <w:rPr/>
      </w:pPr>
      <w:r>
        <w:rPr>
          <w:rtl w:val="true"/>
        </w:rPr>
      </w:r>
    </w:p>
    <w:p>
      <w:pPr>
        <w:pStyle w:val="Style14"/>
        <w:ind w:hanging="720" w:start="720" w:end="0"/>
        <w:jc w:val="both"/>
        <w:rPr/>
      </w:pPr>
      <w:r>
        <w:rPr/>
        <w:t>3</w:t>
      </w:r>
      <w:r>
        <w:rPr>
          <w:rtl w:val="true"/>
        </w:rPr>
        <w:t>.</w:t>
        <w:tab/>
      </w:r>
      <w:r>
        <w:rPr>
          <w:rtl w:val="true"/>
        </w:rPr>
        <w:t>במסגרת הסדר הטיעון</w:t>
      </w:r>
      <w:r>
        <w:rPr>
          <w:rtl w:val="true"/>
        </w:rPr>
        <w:t xml:space="preserve">, </w:t>
      </w:r>
      <w:r>
        <w:rPr>
          <w:rtl w:val="true"/>
        </w:rPr>
        <w:t xml:space="preserve">שהוצג לבית המשפט בדיון מיום </w:t>
      </w:r>
      <w:r>
        <w:rPr/>
        <w:t>31.10.11</w:t>
      </w:r>
      <w:r>
        <w:rPr>
          <w:rtl w:val="true"/>
        </w:rPr>
        <w:t xml:space="preserve">, </w:t>
      </w:r>
      <w:r>
        <w:rPr>
          <w:rtl w:val="true"/>
        </w:rPr>
        <w:t xml:space="preserve">הוסכם כי המאשימה תעתור לעונש של </w:t>
      </w:r>
      <w:r>
        <w:rPr/>
        <w:t>48</w:t>
      </w:r>
      <w:r>
        <w:rPr>
          <w:rtl w:val="true"/>
        </w:rPr>
        <w:t xml:space="preserve"> </w:t>
      </w:r>
      <w:r>
        <w:rPr>
          <w:rtl w:val="true"/>
        </w:rPr>
        <w:t>חודשי מאסר בפועל בנוסף לעונשים נלווים ולחילוט הרכב</w:t>
      </w:r>
      <w:r>
        <w:rPr>
          <w:rtl w:val="true"/>
        </w:rPr>
        <w:t xml:space="preserve">, </w:t>
      </w:r>
      <w:r>
        <w:rPr>
          <w:rtl w:val="true"/>
        </w:rPr>
        <w:t>ואילו הסנגור יטען לעונש מינימאלי ומופחת עד הסתפקות בימי המעצר</w:t>
      </w:r>
      <w:r>
        <w:rPr>
          <w:rtl w:val="true"/>
        </w:rPr>
        <w:t xml:space="preserve">, </w:t>
      </w:r>
      <w:r>
        <w:rPr>
          <w:rtl w:val="true"/>
        </w:rPr>
        <w:t>ויתנגד לחילוט הרכב</w:t>
      </w:r>
      <w:r>
        <w:rPr>
          <w:rtl w:val="true"/>
        </w:rPr>
        <w:t>.</w:t>
      </w:r>
    </w:p>
    <w:p>
      <w:pPr>
        <w:pStyle w:val="Style14"/>
        <w:ind w:firstLine="720" w:end="0"/>
        <w:jc w:val="both"/>
        <w:rPr/>
      </w:pPr>
      <w:r>
        <w:rPr>
          <w:rtl w:val="true"/>
        </w:rPr>
        <w:t>לנאשם הובהר כי בית המשפט אינו כפוף להסדר הטיעון</w:t>
      </w:r>
      <w:r>
        <w:rPr>
          <w:rtl w:val="true"/>
        </w:rPr>
        <w:t>.</w:t>
      </w:r>
    </w:p>
    <w:p>
      <w:pPr>
        <w:pStyle w:val="Style14"/>
        <w:ind w:end="0"/>
        <w:jc w:val="both"/>
        <w:rPr/>
      </w:pPr>
      <w:r>
        <w:rPr>
          <w:rtl w:val="true"/>
        </w:rPr>
        <w:t xml:space="preserve"> </w:t>
      </w:r>
    </w:p>
    <w:p>
      <w:pPr>
        <w:pStyle w:val="Style14"/>
        <w:ind w:hanging="720" w:start="720" w:end="0"/>
        <w:jc w:val="both"/>
        <w:rPr/>
      </w:pPr>
      <w:r>
        <w:rPr/>
        <w:t>4</w:t>
      </w:r>
      <w:r>
        <w:rPr>
          <w:rtl w:val="true"/>
        </w:rPr>
        <w:t>.</w:t>
        <w:tab/>
      </w:r>
      <w:r>
        <w:rPr>
          <w:rtl w:val="true"/>
        </w:rPr>
        <w:t>הנאשם הופנה אל שירות המבחן לשם קבלת תסקיר בטרם גזירת עונשו</w:t>
      </w:r>
      <w:r>
        <w:rPr>
          <w:rtl w:val="true"/>
        </w:rPr>
        <w:t xml:space="preserve">. </w:t>
      </w:r>
      <w:r>
        <w:rPr>
          <w:rtl w:val="true"/>
        </w:rPr>
        <w:t>קצינת המבחן ציינה בתסקיר כי הנאשם התקשה להסביר את המניעים העומדים בבסיס המעשים</w:t>
      </w:r>
      <w:r>
        <w:rPr>
          <w:rtl w:val="true"/>
        </w:rPr>
        <w:t xml:space="preserve">, </w:t>
      </w:r>
      <w:r>
        <w:rPr>
          <w:rtl w:val="true"/>
        </w:rPr>
        <w:t>לרבות נסיבות הנסיעה ואחזקת הנשק</w:t>
      </w:r>
      <w:r>
        <w:rPr>
          <w:rtl w:val="true"/>
        </w:rPr>
        <w:t xml:space="preserve">. </w:t>
      </w:r>
      <w:r>
        <w:rPr>
          <w:rtl w:val="true"/>
        </w:rPr>
        <w:t>קצינת המבחן התרשמה כי מעורבותו של הנאשם בנהיגה הפרועה היוותה ביטוי לחיפוש תחושת עוצמה ועצמאות</w:t>
      </w:r>
      <w:r>
        <w:rPr>
          <w:rtl w:val="true"/>
        </w:rPr>
        <w:t xml:space="preserve">. </w:t>
      </w:r>
      <w:r>
        <w:rPr>
          <w:rtl w:val="true"/>
        </w:rPr>
        <w:t>לדבריה הנאשם אינו נוטל אחריות מלאה למעשיו והוא חסר יכולת להכיר באלמנט ההרסני של המעשים</w:t>
      </w:r>
      <w:r>
        <w:rPr>
          <w:rtl w:val="true"/>
        </w:rPr>
        <w:t xml:space="preserve">, </w:t>
      </w:r>
      <w:r>
        <w:rPr>
          <w:rtl w:val="true"/>
        </w:rPr>
        <w:t>דבר אשר הוביל להימנעותה ממתן המלצה טיפולית</w:t>
      </w:r>
      <w:r>
        <w:rPr>
          <w:rtl w:val="true"/>
        </w:rPr>
        <w:t>.</w:t>
      </w:r>
    </w:p>
    <w:p>
      <w:pPr>
        <w:pStyle w:val="Style14"/>
        <w:ind w:end="0"/>
        <w:jc w:val="both"/>
        <w:rPr/>
      </w:pPr>
      <w:r>
        <w:rPr>
          <w:rtl w:val="true"/>
        </w:rPr>
      </w:r>
    </w:p>
    <w:p>
      <w:pPr>
        <w:pStyle w:val="Style14"/>
        <w:ind w:start="720" w:end="0"/>
        <w:jc w:val="both"/>
        <w:rPr/>
      </w:pPr>
      <w:r>
        <w:rPr>
          <w:rtl w:val="true"/>
        </w:rPr>
        <w:t>לחובת הנאשם לא נרשמו הרשעות קודמות</w:t>
      </w:r>
      <w:r>
        <w:rPr>
          <w:rtl w:val="true"/>
        </w:rPr>
        <w:t xml:space="preserve">, </w:t>
      </w:r>
      <w:r>
        <w:rPr>
          <w:rtl w:val="true"/>
        </w:rPr>
        <w:t>למעט מספר עבירות תנועה שביצע</w:t>
      </w:r>
      <w:r>
        <w:rPr>
          <w:rtl w:val="true"/>
        </w:rPr>
        <w:t xml:space="preserve">, </w:t>
      </w:r>
      <w:r>
        <w:rPr>
          <w:rtl w:val="true"/>
        </w:rPr>
        <w:t>ושבגין אחת מהם נשלל רישיונו לשלושה חודשים</w:t>
      </w:r>
      <w:r>
        <w:rPr>
          <w:rtl w:val="true"/>
        </w:rPr>
        <w:t>.</w:t>
      </w:r>
    </w:p>
    <w:p>
      <w:pPr>
        <w:pStyle w:val="Style14"/>
        <w:ind w:end="0"/>
        <w:jc w:val="both"/>
        <w:rPr/>
      </w:pPr>
      <w:r>
        <w:rPr>
          <w:rtl w:val="true"/>
        </w:rPr>
      </w:r>
    </w:p>
    <w:p>
      <w:pPr>
        <w:pStyle w:val="Style14"/>
        <w:ind w:end="0"/>
        <w:jc w:val="both"/>
        <w:rPr>
          <w:b/>
          <w:bCs/>
          <w:u w:val="single"/>
        </w:rPr>
      </w:pPr>
      <w:r>
        <w:rPr>
          <w:b/>
          <w:b/>
          <w:bCs/>
          <w:u w:val="single"/>
          <w:rtl w:val="true"/>
        </w:rPr>
        <w:t>טיעוני הצדדים</w:t>
      </w:r>
    </w:p>
    <w:p>
      <w:pPr>
        <w:pStyle w:val="Style14"/>
        <w:ind w:end="0"/>
        <w:jc w:val="both"/>
        <w:rPr>
          <w:b/>
          <w:bCs/>
          <w:u w:val="single"/>
        </w:rPr>
      </w:pPr>
      <w:r>
        <w:rPr>
          <w:b/>
          <w:bCs/>
          <w:u w:val="single"/>
          <w:rtl w:val="true"/>
        </w:rPr>
      </w:r>
    </w:p>
    <w:p>
      <w:pPr>
        <w:pStyle w:val="Style14"/>
        <w:ind w:hanging="720" w:start="720" w:end="0"/>
        <w:jc w:val="both"/>
        <w:rPr/>
      </w:pPr>
      <w:r>
        <w:rPr/>
        <w:t>5</w:t>
      </w:r>
      <w:r>
        <w:rPr>
          <w:rtl w:val="true"/>
        </w:rPr>
        <w:t>.</w:t>
        <w:tab/>
      </w:r>
      <w:r>
        <w:rPr>
          <w:rtl w:val="true"/>
        </w:rPr>
        <w:t>המאשימה מציינת בסיכומיה כי מסכת האירועים מלמדת על התנהגות בוטה מצד הנאשם</w:t>
      </w:r>
      <w:r>
        <w:rPr>
          <w:rtl w:val="true"/>
        </w:rPr>
        <w:t xml:space="preserve">, </w:t>
      </w:r>
      <w:r>
        <w:rPr>
          <w:rtl w:val="true"/>
        </w:rPr>
        <w:t>ועל זלזול מוחלט ומופגן באנשי המשטרה ובתפקידם</w:t>
      </w:r>
      <w:r>
        <w:rPr>
          <w:rtl w:val="true"/>
        </w:rPr>
        <w:t xml:space="preserve">. </w:t>
      </w:r>
      <w:r>
        <w:rPr>
          <w:rtl w:val="true"/>
        </w:rPr>
        <w:t>לדבריה</w:t>
      </w:r>
      <w:r>
        <w:rPr>
          <w:rtl w:val="true"/>
        </w:rPr>
        <w:t xml:space="preserve">, </w:t>
      </w:r>
      <w:r>
        <w:rPr>
          <w:rtl w:val="true"/>
        </w:rPr>
        <w:t>התנהגותו העבריינית של הנאשם מחייבת תגובה עונשית הולמת</w:t>
      </w:r>
      <w:r>
        <w:rPr>
          <w:rtl w:val="true"/>
        </w:rPr>
        <w:t xml:space="preserve">, </w:t>
      </w:r>
      <w:r>
        <w:rPr>
          <w:rtl w:val="true"/>
        </w:rPr>
        <w:t>המשקללת גם את העובדה כי הנאשם לא רק סיכן את חייהם של המשתמשים בכביש אלא החזיק בכלי נשק ללא רישיון לעשות כן</w:t>
      </w:r>
      <w:r>
        <w:rPr>
          <w:rtl w:val="true"/>
        </w:rPr>
        <w:t>.</w:t>
      </w:r>
    </w:p>
    <w:p>
      <w:pPr>
        <w:pStyle w:val="Style14"/>
        <w:ind w:hanging="720" w:start="720" w:end="0"/>
        <w:jc w:val="both"/>
        <w:rPr/>
      </w:pPr>
      <w:r>
        <w:rPr>
          <w:rtl w:val="true"/>
        </w:rPr>
        <w:tab/>
      </w:r>
      <w:r>
        <w:rPr>
          <w:rtl w:val="true"/>
        </w:rPr>
        <w:t xml:space="preserve">המאשימה סבורה כי העונש של </w:t>
      </w:r>
      <w:r>
        <w:rPr/>
        <w:t>48</w:t>
      </w:r>
      <w:r>
        <w:rPr>
          <w:rtl w:val="true"/>
        </w:rPr>
        <w:t xml:space="preserve"> </w:t>
      </w:r>
      <w:r>
        <w:rPr>
          <w:rtl w:val="true"/>
        </w:rPr>
        <w:t>חודשי מאסר הוא ראוי בנסיבותיו של תיק זה</w:t>
      </w:r>
      <w:r>
        <w:rPr>
          <w:rtl w:val="true"/>
        </w:rPr>
        <w:t xml:space="preserve">, </w:t>
      </w:r>
      <w:r>
        <w:rPr>
          <w:rtl w:val="true"/>
        </w:rPr>
        <w:t>ומבקשת לגזור על הנאשם</w:t>
      </w:r>
      <w:r>
        <w:rPr>
          <w:rtl w:val="true"/>
        </w:rPr>
        <w:t xml:space="preserve">, </w:t>
      </w:r>
      <w:r>
        <w:rPr>
          <w:rtl w:val="true"/>
        </w:rPr>
        <w:t>בנוסף</w:t>
      </w:r>
      <w:r>
        <w:rPr>
          <w:rtl w:val="true"/>
        </w:rPr>
        <w:t xml:space="preserve">, </w:t>
      </w:r>
      <w:r>
        <w:rPr>
          <w:rtl w:val="true"/>
        </w:rPr>
        <w:t>מאסר מותנה לתקופה של שלוש שנים</w:t>
      </w:r>
      <w:r>
        <w:rPr>
          <w:rtl w:val="true"/>
        </w:rPr>
        <w:t xml:space="preserve">; </w:t>
      </w:r>
      <w:r>
        <w:rPr>
          <w:rtl w:val="true"/>
        </w:rPr>
        <w:t>פסילת מלקבל רישיון נהיגה ופסילה על תנאי</w:t>
      </w:r>
      <w:r>
        <w:rPr>
          <w:rtl w:val="true"/>
        </w:rPr>
        <w:t xml:space="preserve">. </w:t>
      </w:r>
      <w:r>
        <w:rPr>
          <w:rtl w:val="true"/>
        </w:rPr>
        <w:t>עוד מבקשת המאשימה להורות על חילוט הרכב ששימש את הנאשם לביצוע העבירות</w:t>
      </w:r>
      <w:r>
        <w:rPr>
          <w:rtl w:val="true"/>
        </w:rPr>
        <w:t>.</w:t>
      </w:r>
    </w:p>
    <w:p>
      <w:pPr>
        <w:pStyle w:val="Style14"/>
        <w:ind w:hanging="720" w:start="720" w:end="0"/>
        <w:jc w:val="both"/>
        <w:rPr/>
      </w:pPr>
      <w:r>
        <w:rPr>
          <w:rtl w:val="true"/>
        </w:rPr>
      </w:r>
    </w:p>
    <w:p>
      <w:pPr>
        <w:pStyle w:val="Style14"/>
        <w:ind w:hanging="720" w:start="720" w:end="0"/>
        <w:jc w:val="both"/>
        <w:rPr/>
      </w:pPr>
      <w:r>
        <w:rPr/>
        <w:t>6</w:t>
      </w:r>
      <w:r>
        <w:rPr>
          <w:rtl w:val="true"/>
        </w:rPr>
        <w:t>.</w:t>
        <w:tab/>
      </w:r>
      <w:r>
        <w:rPr>
          <w:rtl w:val="true"/>
        </w:rPr>
        <w:t>הסנגור טוען כי יש להתחשב בהודאתו של הנאשם</w:t>
      </w:r>
      <w:r>
        <w:rPr>
          <w:rtl w:val="true"/>
        </w:rPr>
        <w:t xml:space="preserve">. </w:t>
      </w:r>
      <w:r>
        <w:rPr>
          <w:rtl w:val="true"/>
        </w:rPr>
        <w:t xml:space="preserve">עוד הוא מציין כי מדובר בצעיר בן </w:t>
      </w:r>
      <w:r>
        <w:rPr/>
        <w:t>20</w:t>
      </w:r>
      <w:r>
        <w:rPr>
          <w:rtl w:val="true"/>
        </w:rPr>
        <w:t xml:space="preserve"> </w:t>
      </w:r>
      <w:r>
        <w:rPr>
          <w:rtl w:val="true"/>
        </w:rPr>
        <w:t>בלבד שלו זו הסתבכות ראשונה בפלילים</w:t>
      </w:r>
      <w:r>
        <w:rPr>
          <w:rtl w:val="true"/>
        </w:rPr>
        <w:t xml:space="preserve">, </w:t>
      </w:r>
      <w:r>
        <w:rPr>
          <w:rtl w:val="true"/>
        </w:rPr>
        <w:t>ושפרנסת משפחתו נפגעה עקב מעצרו</w:t>
      </w:r>
      <w:r>
        <w:rPr>
          <w:rtl w:val="true"/>
        </w:rPr>
        <w:t xml:space="preserve">.  </w:t>
      </w:r>
      <w:r>
        <w:rPr>
          <w:rtl w:val="true"/>
        </w:rPr>
        <w:t>לדבריו</w:t>
      </w:r>
      <w:r>
        <w:rPr>
          <w:rtl w:val="true"/>
        </w:rPr>
        <w:t xml:space="preserve">, </w:t>
      </w:r>
      <w:r>
        <w:rPr>
          <w:rtl w:val="true"/>
        </w:rPr>
        <w:t>תקופת המעצר לימדה את הנאשם לקח וגרמה להפנמת חומרת המעשים</w:t>
      </w:r>
      <w:r>
        <w:rPr>
          <w:rtl w:val="true"/>
        </w:rPr>
        <w:t xml:space="preserve">, </w:t>
      </w:r>
      <w:r>
        <w:rPr>
          <w:rtl w:val="true"/>
        </w:rPr>
        <w:t>כשביחס לתסקיר העיר כי הנאשם אינו בקי בעברית ושקשיי שפה הם שהובילו לחוסר הבנה בינו לבין קצינת המבחן</w:t>
      </w:r>
      <w:r>
        <w:rPr>
          <w:rtl w:val="true"/>
        </w:rPr>
        <w:t>.</w:t>
      </w:r>
    </w:p>
    <w:p>
      <w:pPr>
        <w:pStyle w:val="Style14"/>
        <w:ind w:hanging="720" w:start="720" w:end="0"/>
        <w:jc w:val="both"/>
        <w:rPr/>
      </w:pPr>
      <w:r>
        <w:rPr>
          <w:rtl w:val="true"/>
        </w:rPr>
        <w:tab/>
      </w:r>
      <w:r>
        <w:rPr>
          <w:rtl w:val="true"/>
        </w:rPr>
        <w:t xml:space="preserve">הסנגור הפנה לגזרי דין בהם הוטלו עונשים של בין </w:t>
      </w:r>
      <w:r>
        <w:rPr/>
        <w:t>10</w:t>
      </w:r>
      <w:r>
        <w:rPr>
          <w:rtl w:val="true"/>
        </w:rPr>
        <w:t xml:space="preserve"> </w:t>
      </w:r>
      <w:r>
        <w:rPr>
          <w:rtl w:val="true"/>
        </w:rPr>
        <w:t>ל</w:t>
      </w:r>
      <w:r>
        <w:rPr>
          <w:rtl w:val="true"/>
        </w:rPr>
        <w:t>-</w:t>
      </w:r>
      <w:r>
        <w:rPr/>
        <w:t>22</w:t>
      </w:r>
      <w:r>
        <w:rPr>
          <w:rtl w:val="true"/>
        </w:rPr>
        <w:t xml:space="preserve"> </w:t>
      </w:r>
      <w:r>
        <w:rPr>
          <w:rtl w:val="true"/>
        </w:rPr>
        <w:t>חודשי מאסר על מורשעים בעבירות דומות</w:t>
      </w:r>
      <w:r>
        <w:rPr>
          <w:rtl w:val="true"/>
        </w:rPr>
        <w:t xml:space="preserve">. </w:t>
      </w:r>
      <w:r>
        <w:rPr>
          <w:rtl w:val="true"/>
        </w:rPr>
        <w:t>כן ביקש להתחשב במצבו הכלכלי של הנאשם בעת קביעת סכום הקנס</w:t>
      </w:r>
      <w:r>
        <w:rPr>
          <w:rtl w:val="true"/>
        </w:rPr>
        <w:t xml:space="preserve">, </w:t>
      </w:r>
      <w:r>
        <w:rPr>
          <w:rtl w:val="true"/>
        </w:rPr>
        <w:t>אם יוטל</w:t>
      </w:r>
      <w:r>
        <w:rPr>
          <w:rtl w:val="true"/>
        </w:rPr>
        <w:t xml:space="preserve">, </w:t>
      </w:r>
      <w:r>
        <w:rPr>
          <w:rtl w:val="true"/>
        </w:rPr>
        <w:t>ושפסילת הרישיון תחושב מיום מעצרו ותהיה מינימאלית</w:t>
      </w:r>
      <w:r>
        <w:rPr>
          <w:rtl w:val="true"/>
        </w:rPr>
        <w:t>.</w:t>
      </w:r>
    </w:p>
    <w:p>
      <w:pPr>
        <w:pStyle w:val="Style14"/>
        <w:ind w:hanging="720" w:start="720" w:end="0"/>
        <w:jc w:val="both"/>
        <w:rPr/>
      </w:pPr>
      <w:r>
        <w:rPr>
          <w:rtl w:val="true"/>
        </w:rPr>
        <w:tab/>
      </w:r>
      <w:r>
        <w:rPr>
          <w:rtl w:val="true"/>
        </w:rPr>
        <w:t>באשר לחילוט הרכב</w:t>
      </w:r>
      <w:r>
        <w:rPr>
          <w:rtl w:val="true"/>
        </w:rPr>
        <w:t xml:space="preserve">, </w:t>
      </w:r>
      <w:r>
        <w:rPr>
          <w:rtl w:val="true"/>
        </w:rPr>
        <w:t xml:space="preserve">הסנגור ציין כי הנאשם שילם בעדו מקדמה בסך </w:t>
      </w:r>
      <w:r>
        <w:rPr/>
        <w:t>25,000</w:t>
      </w:r>
      <w:r>
        <w:rPr>
          <w:rtl w:val="true"/>
        </w:rPr>
        <w:t xml:space="preserve"> ₪, </w:t>
      </w:r>
      <w:r>
        <w:rPr>
          <w:rtl w:val="true"/>
        </w:rPr>
        <w:t>אולם התכוון להשיב את הרכב לבעליו כשהצדדים סיכמו ביניהם שהרכב יחזור אל בעליו המקוריים ושמן הסכום ששילם הנאשם יקוזז סכום הנזק ודמי החנייה בהם התחייבו הבעלים</w:t>
      </w:r>
      <w:r>
        <w:rPr>
          <w:rtl w:val="true"/>
        </w:rPr>
        <w:t xml:space="preserve">.  </w:t>
      </w:r>
      <w:r>
        <w:rPr>
          <w:rtl w:val="true"/>
        </w:rPr>
        <w:t>בעניין חילוט הרכב העיד בבית המשפט מר סאלח מחאמיד</w:t>
      </w:r>
      <w:r>
        <w:rPr>
          <w:rtl w:val="true"/>
        </w:rPr>
        <w:t xml:space="preserve">, </w:t>
      </w:r>
      <w:r>
        <w:rPr>
          <w:rtl w:val="true"/>
        </w:rPr>
        <w:t>אשר שימש</w:t>
      </w:r>
      <w:r>
        <w:rPr>
          <w:rtl w:val="true"/>
        </w:rPr>
        <w:t xml:space="preserve">, </w:t>
      </w:r>
      <w:r>
        <w:rPr>
          <w:rtl w:val="true"/>
        </w:rPr>
        <w:t>לדבריו</w:t>
      </w:r>
      <w:r>
        <w:rPr>
          <w:rtl w:val="true"/>
        </w:rPr>
        <w:t xml:space="preserve">, </w:t>
      </w:r>
      <w:r>
        <w:rPr>
          <w:rtl w:val="true"/>
        </w:rPr>
        <w:t>כמתווך בעסקה שבין הנאשם לבין הבעלים הרשומים</w:t>
      </w:r>
      <w:r>
        <w:rPr>
          <w:rtl w:val="true"/>
        </w:rPr>
        <w:t>.</w:t>
      </w:r>
    </w:p>
    <w:p>
      <w:pPr>
        <w:pStyle w:val="Style14"/>
        <w:ind w:hanging="720" w:start="720" w:end="0"/>
        <w:jc w:val="both"/>
        <w:rPr/>
      </w:pPr>
      <w:r>
        <w:rPr>
          <w:rtl w:val="true"/>
        </w:rPr>
      </w:r>
    </w:p>
    <w:p>
      <w:pPr>
        <w:pStyle w:val="Style14"/>
        <w:ind w:hanging="720" w:start="720" w:end="0"/>
        <w:jc w:val="both"/>
        <w:rPr>
          <w:b/>
          <w:bCs/>
          <w:u w:val="single"/>
        </w:rPr>
      </w:pPr>
      <w:r>
        <w:rPr>
          <w:b/>
          <w:b/>
          <w:bCs/>
          <w:u w:val="single"/>
          <w:rtl w:val="true"/>
        </w:rPr>
        <w:t>דיון</w:t>
      </w:r>
    </w:p>
    <w:p>
      <w:pPr>
        <w:pStyle w:val="Style14"/>
        <w:ind w:hanging="720" w:start="720" w:end="0"/>
        <w:jc w:val="both"/>
        <w:rPr>
          <w:b/>
          <w:bCs/>
          <w:u w:val="single"/>
        </w:rPr>
      </w:pPr>
      <w:r>
        <w:rPr>
          <w:b/>
          <w:bCs/>
          <w:u w:val="single"/>
          <w:rtl w:val="true"/>
        </w:rPr>
      </w:r>
    </w:p>
    <w:p>
      <w:pPr>
        <w:pStyle w:val="Style14"/>
        <w:ind w:hanging="720" w:start="720" w:end="0"/>
        <w:jc w:val="both"/>
        <w:rPr/>
      </w:pPr>
      <w:r>
        <w:rPr/>
        <w:t>7</w:t>
      </w:r>
      <w:r>
        <w:rPr>
          <w:rtl w:val="true"/>
        </w:rPr>
        <w:t>.</w:t>
        <w:tab/>
      </w:r>
      <w:r>
        <w:rPr>
          <w:rtl w:val="true"/>
        </w:rPr>
        <w:t>הנאשם הורשע בעבירות חמורות ביותר</w:t>
      </w:r>
      <w:r>
        <w:rPr>
          <w:rtl w:val="true"/>
        </w:rPr>
        <w:t xml:space="preserve">, </w:t>
      </w:r>
      <w:r>
        <w:rPr>
          <w:rtl w:val="true"/>
        </w:rPr>
        <w:t>המלמדות על חוסר מורא מפני נציגי החוק ועל הפנמה של התנהגות עבריינית מסוכנת</w:t>
      </w:r>
      <w:r>
        <w:rPr>
          <w:rtl w:val="true"/>
        </w:rPr>
        <w:t xml:space="preserve">, </w:t>
      </w:r>
      <w:r>
        <w:rPr>
          <w:rtl w:val="true"/>
        </w:rPr>
        <w:t>שבנקל יכולה הייתה להוביל לפגיעה בחייהם של אנשים תמימים</w:t>
      </w:r>
      <w:r>
        <w:rPr>
          <w:rtl w:val="true"/>
        </w:rPr>
        <w:t xml:space="preserve">. </w:t>
      </w:r>
      <w:r>
        <w:rPr>
          <w:rtl w:val="true"/>
        </w:rPr>
        <w:t>ודוק</w:t>
      </w:r>
      <w:r>
        <w:rPr>
          <w:rtl w:val="true"/>
        </w:rPr>
        <w:t xml:space="preserve">, </w:t>
      </w:r>
      <w:r>
        <w:rPr>
          <w:rtl w:val="true"/>
        </w:rPr>
        <w:t xml:space="preserve">לבד מן העובדה כי הנאשם בחר לנהוג באופן מסוכן ופרוע </w:t>
      </w:r>
      <w:r>
        <w:rPr>
          <w:rtl w:val="true"/>
        </w:rPr>
        <w:t xml:space="preserve">, </w:t>
      </w:r>
      <w:r>
        <w:rPr>
          <w:rtl w:val="true"/>
        </w:rPr>
        <w:t>תוך חציית צמתים ברמזור אדום</w:t>
      </w:r>
      <w:r>
        <w:rPr>
          <w:rtl w:val="true"/>
        </w:rPr>
        <w:t xml:space="preserve">, </w:t>
      </w:r>
      <w:r>
        <w:rPr>
          <w:rtl w:val="true"/>
        </w:rPr>
        <w:t>נסיעה בנתיב הנגדי ובאופן מכוון לכיוונה של ניידת משטרה</w:t>
      </w:r>
      <w:r>
        <w:rPr>
          <w:rtl w:val="true"/>
        </w:rPr>
        <w:t xml:space="preserve">, </w:t>
      </w:r>
      <w:r>
        <w:rPr>
          <w:rtl w:val="true"/>
        </w:rPr>
        <w:t>הנאשם נשא על גופו אקדח אותו בחר להחזיק בעת שנמלט רגלית מן הרכב</w:t>
      </w:r>
      <w:r>
        <w:rPr>
          <w:rtl w:val="true"/>
        </w:rPr>
        <w:t xml:space="preserve">. </w:t>
      </w:r>
      <w:r>
        <w:rPr>
          <w:rtl w:val="true"/>
        </w:rPr>
        <w:t>נסיבות אלה מצביעות על כך שהעובדה כי זו הסתבכות ראשונה של הנאשם בפלילים אינה מלמדת בהכרח על אדם נורמטיבי</w:t>
      </w:r>
      <w:r>
        <w:rPr>
          <w:rtl w:val="true"/>
        </w:rPr>
        <w:t xml:space="preserve">, </w:t>
      </w:r>
      <w:r>
        <w:rPr>
          <w:rtl w:val="true"/>
        </w:rPr>
        <w:t>אלא על פצצה מתקתקת שרק בדרך נס נעצר על ידי השוטרים בטרם גרם לנפגעים</w:t>
      </w:r>
      <w:r>
        <w:rPr>
          <w:rtl w:val="true"/>
        </w:rPr>
        <w:t xml:space="preserve">, </w:t>
      </w:r>
      <w:r>
        <w:rPr>
          <w:rtl w:val="true"/>
        </w:rPr>
        <w:t>אם באמצעות נהיגתו ואם באמצעות אקדחו</w:t>
      </w:r>
      <w:r>
        <w:rPr>
          <w:rtl w:val="true"/>
        </w:rPr>
        <w:t>.</w:t>
      </w:r>
    </w:p>
    <w:p>
      <w:pPr>
        <w:pStyle w:val="Style14"/>
        <w:ind w:hanging="720" w:start="720" w:end="0"/>
        <w:jc w:val="both"/>
        <w:rPr/>
      </w:pPr>
      <w:r>
        <w:rPr>
          <w:rtl w:val="true"/>
        </w:rPr>
      </w:r>
    </w:p>
    <w:p>
      <w:pPr>
        <w:pStyle w:val="Style14"/>
        <w:ind w:hanging="720" w:start="720" w:end="0"/>
        <w:jc w:val="both"/>
        <w:rPr/>
      </w:pPr>
      <w:r>
        <w:rPr/>
        <w:t>8</w:t>
      </w:r>
      <w:r>
        <w:rPr>
          <w:rtl w:val="true"/>
        </w:rPr>
        <w:t>.</w:t>
        <w:tab/>
      </w:r>
      <w:r>
        <w:rPr>
          <w:rtl w:val="true"/>
        </w:rPr>
        <w:t>באופן דומה</w:t>
      </w:r>
      <w:r>
        <w:rPr>
          <w:rtl w:val="true"/>
        </w:rPr>
        <w:t xml:space="preserve">, </w:t>
      </w:r>
      <w:r>
        <w:rPr>
          <w:rtl w:val="true"/>
        </w:rPr>
        <w:t>הבחירה לברוח מן השוטרים הרודפים אחריו וזאת תוך הפרה של חוקי התעבורה וסיכון זדוני ופושע של חיי המשתמשים בכביש</w:t>
      </w:r>
      <w:r>
        <w:rPr>
          <w:rtl w:val="true"/>
        </w:rPr>
        <w:t xml:space="preserve">, </w:t>
      </w:r>
      <w:r>
        <w:rPr>
          <w:rtl w:val="true"/>
        </w:rPr>
        <w:t>גם היא מלמדת על אישיותו ועל הפנמה של קודים עבריינים</w:t>
      </w:r>
      <w:r>
        <w:rPr>
          <w:rtl w:val="true"/>
        </w:rPr>
        <w:t xml:space="preserve">. </w:t>
      </w:r>
      <w:r>
        <w:rPr>
          <w:rtl w:val="true"/>
        </w:rPr>
        <w:t>התנהגות זו של בריחה מפני נציגי החוק באופן המסכן חייהם של חפים מפשע הפכה</w:t>
      </w:r>
      <w:r>
        <w:rPr>
          <w:rtl w:val="true"/>
        </w:rPr>
        <w:t xml:space="preserve">, </w:t>
      </w:r>
      <w:r>
        <w:rPr>
          <w:rtl w:val="true"/>
        </w:rPr>
        <w:t>לצערנו</w:t>
      </w:r>
      <w:r>
        <w:rPr>
          <w:rtl w:val="true"/>
        </w:rPr>
        <w:t xml:space="preserve">, </w:t>
      </w:r>
      <w:r>
        <w:rPr>
          <w:rtl w:val="true"/>
        </w:rPr>
        <w:t>לתופעה שאינה נדירה כל</w:t>
      </w:r>
      <w:r>
        <w:rPr>
          <w:rtl w:val="true"/>
        </w:rPr>
        <w:t>-</w:t>
      </w:r>
      <w:r>
        <w:rPr>
          <w:rtl w:val="true"/>
        </w:rPr>
        <w:t>כך</w:t>
      </w:r>
      <w:r>
        <w:rPr>
          <w:rtl w:val="true"/>
        </w:rPr>
        <w:t xml:space="preserve">, </w:t>
      </w:r>
      <w:r>
        <w:rPr>
          <w:rtl w:val="true"/>
        </w:rPr>
        <w:t>והיא מחייבת תגובה הולמת שיש בה להרתיע את הרבים ולבטא את תחושתו של הציבור הרחב כי אין לרחם על מי שבז לזכויותיהם של אנשים תמימים ובוחר לסכן אותם באופן ברור ומודע</w:t>
      </w:r>
      <w:r>
        <w:rPr>
          <w:rtl w:val="true"/>
        </w:rPr>
        <w:t>.</w:t>
      </w:r>
    </w:p>
    <w:p>
      <w:pPr>
        <w:pStyle w:val="Style14"/>
        <w:ind w:hanging="720" w:start="720" w:end="0"/>
        <w:jc w:val="both"/>
        <w:rPr/>
      </w:pPr>
      <w:r>
        <w:rPr>
          <w:rtl w:val="true"/>
        </w:rPr>
        <w:tab/>
      </w:r>
      <w:r>
        <w:rPr>
          <w:rtl w:val="true"/>
        </w:rPr>
        <w:t xml:space="preserve">בעניין דומה עמד בית המשפט העליון על תכיפותה של </w:t>
      </w:r>
      <w:r>
        <w:rPr>
          <w:rtl w:val="true"/>
        </w:rPr>
        <w:t>"</w:t>
      </w:r>
      <w:r>
        <w:rPr>
          <w:rtl w:val="true"/>
        </w:rPr>
        <w:t>תופעת המרדפים</w:t>
      </w:r>
      <w:r>
        <w:rPr>
          <w:rtl w:val="true"/>
        </w:rPr>
        <w:t xml:space="preserve">" </w:t>
      </w:r>
      <w:r>
        <w:rPr>
          <w:rtl w:val="true"/>
        </w:rPr>
        <w:t>והתווה את רף הענישה הראוי</w:t>
      </w:r>
      <w:r>
        <w:rPr>
          <w:rtl w:val="true"/>
        </w:rPr>
        <w:t xml:space="preserve">, </w:t>
      </w:r>
      <w:r>
        <w:rPr>
          <w:rtl w:val="true"/>
        </w:rPr>
        <w:t>באמרו</w:t>
      </w:r>
      <w:r>
        <w:rPr>
          <w:rtl w:val="true"/>
        </w:rPr>
        <w:t xml:space="preserve">: </w:t>
      </w:r>
    </w:p>
    <w:p>
      <w:pPr>
        <w:pStyle w:val="Style14"/>
        <w:ind w:hanging="720" w:start="720" w:end="0"/>
        <w:jc w:val="both"/>
        <w:rPr/>
      </w:pPr>
      <w:r>
        <w:rPr>
          <w:rtl w:val="true"/>
        </w:rPr>
      </w:r>
    </w:p>
    <w:p>
      <w:pPr>
        <w:pStyle w:val="Style14"/>
        <w:ind w:start="1440" w:end="0"/>
        <w:jc w:val="both"/>
        <w:rPr/>
      </w:pPr>
      <w:r>
        <w:rPr>
          <w:rtl w:val="true"/>
        </w:rPr>
        <w:t>"</w:t>
      </w:r>
      <w:r>
        <w:rPr>
          <w:rtl w:val="true"/>
        </w:rPr>
        <w:t>בית משפט זה נדרש לא אחת</w:t>
      </w:r>
      <w:r>
        <w:rPr>
          <w:rtl w:val="true"/>
        </w:rPr>
        <w:t xml:space="preserve">, </w:t>
      </w:r>
      <w:r>
        <w:rPr>
          <w:rtl w:val="true"/>
        </w:rPr>
        <w:t>ולמרבה הצער לעיתים תכופות מדי</w:t>
      </w:r>
      <w:r>
        <w:rPr>
          <w:rtl w:val="true"/>
        </w:rPr>
        <w:t xml:space="preserve">, </w:t>
      </w:r>
      <w:r>
        <w:rPr>
          <w:rtl w:val="true"/>
        </w:rPr>
        <w:t>לעבירה הנמצאת בליבו של תיק זה ול</w:t>
      </w:r>
      <w:r>
        <w:rPr>
          <w:rtl w:val="true"/>
        </w:rPr>
        <w:t>"</w:t>
      </w:r>
      <w:r>
        <w:rPr>
          <w:rtl w:val="true"/>
        </w:rPr>
        <w:t>תופעת המרדפים</w:t>
      </w:r>
      <w:r>
        <w:rPr>
          <w:rtl w:val="true"/>
        </w:rPr>
        <w:t xml:space="preserve">" </w:t>
      </w:r>
      <w:r>
        <w:rPr>
          <w:rtl w:val="true"/>
        </w:rPr>
        <w:t>אשר קנתה לה אחיזה במחוזותינו</w:t>
      </w:r>
      <w:r>
        <w:rPr>
          <w:rtl w:val="true"/>
        </w:rPr>
        <w:t xml:space="preserve">. </w:t>
      </w:r>
      <w:r>
        <w:rPr>
          <w:rtl w:val="true"/>
        </w:rPr>
        <w:t>תופעה חמורה זו</w:t>
      </w:r>
      <w:r>
        <w:rPr>
          <w:rtl w:val="true"/>
        </w:rPr>
        <w:t xml:space="preserve">, </w:t>
      </w:r>
      <w:r>
        <w:rPr>
          <w:rtl w:val="true"/>
        </w:rPr>
        <w:t>קוראת תיגר על שלטון החוק ושמה לאל את ביטחונם וחייהם של המשתמשים בדרך</w:t>
      </w:r>
      <w:r>
        <w:rPr>
          <w:rtl w:val="true"/>
        </w:rPr>
        <w:t xml:space="preserve">. </w:t>
      </w:r>
      <w:r>
        <w:rPr>
          <w:rtl w:val="true"/>
        </w:rPr>
        <w:t xml:space="preserve">האיסור הפלילי על סיכון חיי אנשים במזיד בנתיב תחבורה הינו אחד </w:t>
      </w:r>
      <w:r>
        <w:rPr>
          <w:rtl w:val="true"/>
        </w:rPr>
        <w:tab/>
      </w:r>
      <w:r>
        <w:rPr>
          <w:rtl w:val="true"/>
        </w:rPr>
        <w:t>האמצעים להתמודדות עם תופעה חמורה זו</w:t>
      </w:r>
      <w:r>
        <w:rPr>
          <w:rtl w:val="true"/>
        </w:rPr>
        <w:t xml:space="preserve">, </w:t>
      </w:r>
      <w:r>
        <w:rPr>
          <w:rtl w:val="true"/>
        </w:rPr>
        <w:t>ורף הענישה החולש על העבירה משלים את המאמצים למיגורה</w:t>
      </w:r>
      <w:r>
        <w:rPr>
          <w:rtl w:val="true"/>
        </w:rPr>
        <w:t xml:space="preserve">. </w:t>
      </w:r>
      <w:r>
        <w:rPr>
          <w:rtl w:val="true"/>
        </w:rPr>
        <w:t>האינטרסים החשובים שבבסיסה של העבירה</w:t>
      </w:r>
      <w:r>
        <w:rPr>
          <w:rtl w:val="true"/>
        </w:rPr>
        <w:t xml:space="preserve">, </w:t>
      </w:r>
      <w:r>
        <w:rPr>
          <w:rtl w:val="true"/>
        </w:rPr>
        <w:t>שכיחותה של תופעת המרדפים</w:t>
      </w:r>
      <w:r>
        <w:rPr>
          <w:rtl w:val="true"/>
        </w:rPr>
        <w:t xml:space="preserve">, </w:t>
      </w:r>
      <w:r>
        <w:rPr>
          <w:rtl w:val="true"/>
        </w:rPr>
        <w:t>והקטל המתמשך בכבישי ארצנו חיזקו את משקלו של האינטרס הציבורי בדבר הרתעת העבריין והציבור כולו</w:t>
      </w:r>
      <w:r>
        <w:rPr>
          <w:rtl w:val="true"/>
        </w:rPr>
        <w:t xml:space="preserve">, </w:t>
      </w:r>
      <w:r>
        <w:rPr>
          <w:rtl w:val="true"/>
        </w:rPr>
        <w:t>והובילו לקביעתו של רף ענישה מחמיר</w:t>
      </w:r>
      <w:r>
        <w:rPr>
          <w:rtl w:val="true"/>
        </w:rPr>
        <w:t xml:space="preserve">. </w:t>
      </w:r>
      <w:r>
        <w:rPr>
          <w:rtl w:val="true"/>
        </w:rPr>
        <w:t>הענישה המקובלת עומדת כיום על מספר שנות מאסר ומספר שנות פסילה מלהחזיק או לקבל רישיון רכב</w:t>
      </w:r>
      <w:r>
        <w:rPr>
          <w:rtl w:val="true"/>
        </w:rPr>
        <w:t>" (</w:t>
      </w:r>
      <w:hyperlink r:id="rId16">
        <w:r>
          <w:rPr>
            <w:rStyle w:val="Hyperlink"/>
            <w:rtl w:val="true"/>
          </w:rPr>
          <w:t>ע</w:t>
        </w:r>
        <w:r>
          <w:rPr>
            <w:rStyle w:val="Hyperlink"/>
            <w:rtl w:val="true"/>
          </w:rPr>
          <w:t>"</w:t>
        </w:r>
        <w:r>
          <w:rPr>
            <w:rStyle w:val="Hyperlink"/>
            <w:rtl w:val="true"/>
          </w:rPr>
          <w:t xml:space="preserve">פ </w:t>
        </w:r>
        <w:r>
          <w:rPr>
            <w:rStyle w:val="Hyperlink"/>
          </w:rPr>
          <w:t>9750/09</w:t>
        </w:r>
      </w:hyperlink>
      <w:r>
        <w:rPr>
          <w:rtl w:val="true"/>
        </w:rPr>
        <w:t xml:space="preserve"> </w:t>
      </w:r>
      <w:r>
        <w:rPr>
          <w:b/>
          <w:b/>
          <w:bCs/>
          <w:rtl w:val="true"/>
        </w:rPr>
        <w:t>אולג ליפייקו נ</w:t>
      </w:r>
      <w:r>
        <w:rPr>
          <w:b/>
          <w:bCs/>
          <w:rtl w:val="true"/>
        </w:rPr>
        <w:t xml:space="preserve">' </w:t>
      </w:r>
      <w:r>
        <w:rPr>
          <w:b/>
          <w:b/>
          <w:bCs/>
          <w:rtl w:val="true"/>
        </w:rPr>
        <w:t>מדינת ישראל</w:t>
      </w:r>
      <w:r>
        <w:rPr>
          <w:rtl w:val="true"/>
        </w:rPr>
        <w:t xml:space="preserve">, </w:t>
      </w:r>
      <w:r>
        <w:rPr/>
        <w:t>6.10.10</w:t>
      </w:r>
      <w:r>
        <w:rPr>
          <w:rtl w:val="true"/>
        </w:rPr>
        <w:t xml:space="preserve"> (</w:t>
      </w:r>
      <w:r>
        <w:rPr>
          <w:rtl w:val="true"/>
        </w:rPr>
        <w:t>לא פורסם</w:t>
      </w:r>
      <w:r>
        <w:rPr>
          <w:rtl w:val="true"/>
        </w:rPr>
        <w:t>)).</w:t>
      </w:r>
    </w:p>
    <w:p>
      <w:pPr>
        <w:pStyle w:val="Style14"/>
        <w:ind w:end="0"/>
        <w:jc w:val="both"/>
        <w:rPr/>
      </w:pPr>
      <w:r>
        <w:rPr>
          <w:rtl w:val="true"/>
        </w:rPr>
      </w:r>
    </w:p>
    <w:p>
      <w:pPr>
        <w:pStyle w:val="Style14"/>
        <w:ind w:hanging="720" w:start="720" w:end="0"/>
        <w:jc w:val="both"/>
        <w:rPr/>
      </w:pPr>
      <w:r>
        <w:rPr/>
        <w:t>9</w:t>
      </w:r>
      <w:r>
        <w:rPr>
          <w:rtl w:val="true"/>
        </w:rPr>
        <w:t>.</w:t>
        <w:tab/>
      </w:r>
      <w:r>
        <w:rPr>
          <w:rtl w:val="true"/>
        </w:rPr>
        <w:t>גילו הצעיר של הנאשם והודאתו בעובדות כתב האישום הן אמנם נסיבות שיש בהן להקל בעונשו</w:t>
      </w:r>
      <w:r>
        <w:rPr>
          <w:rtl w:val="true"/>
        </w:rPr>
        <w:t xml:space="preserve">, </w:t>
      </w:r>
      <w:r>
        <w:rPr>
          <w:rtl w:val="true"/>
        </w:rPr>
        <w:t>אולם בשים לב לאמור בתסקיר שירות המבחן</w:t>
      </w:r>
      <w:r>
        <w:rPr>
          <w:rtl w:val="true"/>
        </w:rPr>
        <w:t xml:space="preserve">, </w:t>
      </w:r>
      <w:r>
        <w:rPr>
          <w:rtl w:val="true"/>
        </w:rPr>
        <w:t>וכמובן לעובדות כתב האישום המבטאות יותר מכל את יחסו הנפשי של הנאשם אל שלטון החוק ואל זכותם לחיים ולחופש תנועה של אחרים</w:t>
      </w:r>
      <w:r>
        <w:rPr>
          <w:rtl w:val="true"/>
        </w:rPr>
        <w:t xml:space="preserve">, </w:t>
      </w:r>
      <w:r>
        <w:rPr>
          <w:rtl w:val="true"/>
        </w:rPr>
        <w:t>מצאתי כי אין מקום להקלה משמעותית</w:t>
      </w:r>
      <w:r>
        <w:rPr>
          <w:rtl w:val="true"/>
        </w:rPr>
        <w:t xml:space="preserve">, </w:t>
      </w:r>
      <w:r>
        <w:rPr>
          <w:rtl w:val="true"/>
        </w:rPr>
        <w:t>ובודאי לא כזו לה עותר הנאשם</w:t>
      </w:r>
      <w:r>
        <w:rPr>
          <w:rtl w:val="true"/>
        </w:rPr>
        <w:t>.</w:t>
      </w:r>
    </w:p>
    <w:p>
      <w:pPr>
        <w:pStyle w:val="Style14"/>
        <w:ind w:start="720" w:end="0"/>
        <w:jc w:val="both"/>
        <w:rPr/>
      </w:pPr>
      <w:r>
        <w:rPr>
          <w:rtl w:val="true"/>
        </w:rPr>
        <w:t xml:space="preserve">ביחס לגזר הדין אליו הפנה הסנגור בטיעוניו שם נגזרו על אדם שברח מן השוטרים עונש של </w:t>
      </w:r>
      <w:r>
        <w:rPr/>
        <w:t>22</w:t>
      </w:r>
      <w:r>
        <w:rPr>
          <w:rtl w:val="true"/>
        </w:rPr>
        <w:t xml:space="preserve"> </w:t>
      </w:r>
      <w:r>
        <w:rPr>
          <w:rtl w:val="true"/>
        </w:rPr>
        <w:t>חודשי מאסר בלבד</w:t>
      </w:r>
      <w:r>
        <w:rPr>
          <w:rtl w:val="true"/>
        </w:rPr>
        <w:t xml:space="preserve">, </w:t>
      </w:r>
      <w:r>
        <w:rPr>
          <w:rtl w:val="true"/>
        </w:rPr>
        <w:t>יש לאבחן כי מדובר בפסק</w:t>
      </w:r>
      <w:r>
        <w:rPr>
          <w:rtl w:val="true"/>
        </w:rPr>
        <w:t>-</w:t>
      </w:r>
      <w:r>
        <w:rPr>
          <w:rtl w:val="true"/>
        </w:rPr>
        <w:t>דין בו בית המשפט העליון קבע כי עונש קל יותר אינו ראוי</w:t>
      </w:r>
      <w:r>
        <w:rPr>
          <w:rtl w:val="true"/>
        </w:rPr>
        <w:t xml:space="preserve">, </w:t>
      </w:r>
      <w:r>
        <w:rPr>
          <w:rtl w:val="true"/>
        </w:rPr>
        <w:t>באמרו</w:t>
      </w:r>
      <w:r>
        <w:rPr>
          <w:rtl w:val="true"/>
        </w:rPr>
        <w:t>:</w:t>
      </w:r>
    </w:p>
    <w:p>
      <w:pPr>
        <w:pStyle w:val="Style14"/>
        <w:ind w:start="720" w:end="0"/>
        <w:jc w:val="both"/>
        <w:rPr/>
      </w:pPr>
      <w:r>
        <w:rPr>
          <w:rtl w:val="true"/>
        </w:rPr>
      </w:r>
    </w:p>
    <w:p>
      <w:pPr>
        <w:pStyle w:val="Style14"/>
        <w:ind w:start="1440" w:end="0"/>
        <w:jc w:val="both"/>
        <w:rPr/>
      </w:pPr>
      <w:r>
        <w:rPr>
          <w:rtl w:val="true"/>
        </w:rPr>
        <w:t>"</w:t>
      </w:r>
      <w:r>
        <w:rPr>
          <w:rtl w:val="true"/>
        </w:rPr>
        <w:t>שוכנענו כי העונש שהוטל על המשיב אינו הולם את חומרת העבירות בהן הורשע ואת נסיבות המקרה</w:t>
      </w:r>
      <w:r>
        <w:rPr>
          <w:rtl w:val="true"/>
        </w:rPr>
        <w:t xml:space="preserve"> </w:t>
      </w:r>
      <w:r>
        <w:rPr>
          <w:rtl w:val="true"/>
        </w:rPr>
        <w:t>וכי יש להחמיר החמרה משמעותית בעונשו</w:t>
      </w:r>
      <w:r>
        <w:rPr>
          <w:rtl w:val="true"/>
        </w:rPr>
        <w:t xml:space="preserve">. </w:t>
      </w:r>
      <w:r>
        <w:rPr>
          <w:rtl w:val="true"/>
        </w:rPr>
        <w:t>יחד עם זאת</w:t>
      </w:r>
      <w:r>
        <w:rPr>
          <w:rtl w:val="true"/>
        </w:rPr>
        <w:t xml:space="preserve">, </w:t>
      </w:r>
      <w:r>
        <w:rPr>
          <w:rtl w:val="true"/>
        </w:rPr>
        <w:t>התחשבנו אף בהלכה שלפיה ערכאת הערעור אינה נוהגת למצות את הדין עם הנאשם ונתנו משקל מיוחד למצבו הנפשי של המשיב</w:t>
      </w:r>
      <w:r>
        <w:rPr>
          <w:rtl w:val="true"/>
        </w:rPr>
        <w:t>." (</w:t>
      </w:r>
      <w:hyperlink r:id="rId17">
        <w:r>
          <w:rPr>
            <w:rStyle w:val="Hyperlink"/>
            <w:rtl w:val="true"/>
          </w:rPr>
          <w:t>ע</w:t>
        </w:r>
        <w:r>
          <w:rPr>
            <w:rStyle w:val="Hyperlink"/>
            <w:rtl w:val="true"/>
          </w:rPr>
          <w:t>"</w:t>
        </w:r>
        <w:r>
          <w:rPr>
            <w:rStyle w:val="Hyperlink"/>
            <w:rtl w:val="true"/>
          </w:rPr>
          <w:t xml:space="preserve">פ </w:t>
        </w:r>
        <w:r>
          <w:rPr>
            <w:rStyle w:val="Hyperlink"/>
          </w:rPr>
          <w:t>7348/11</w:t>
        </w:r>
      </w:hyperlink>
      <w:r>
        <w:rPr>
          <w:rtl w:val="true"/>
        </w:rPr>
        <w:t xml:space="preserve">  </w:t>
      </w:r>
      <w:r>
        <w:rPr>
          <w:b/>
          <w:b/>
          <w:bCs/>
          <w:rtl w:val="true"/>
        </w:rPr>
        <w:t>מדינת ישראל נ</w:t>
      </w:r>
      <w:r>
        <w:rPr>
          <w:b/>
          <w:bCs/>
          <w:rtl w:val="true"/>
        </w:rPr>
        <w:t xml:space="preserve">' </w:t>
      </w:r>
      <w:r>
        <w:rPr>
          <w:b/>
          <w:b/>
          <w:bCs/>
          <w:rtl w:val="true"/>
        </w:rPr>
        <w:t>שמעון אוזן</w:t>
      </w:r>
      <w:r>
        <w:rPr>
          <w:rtl w:val="true"/>
        </w:rPr>
        <w:t xml:space="preserve">, </w:t>
      </w:r>
      <w:r>
        <w:rPr/>
        <w:t>26.12.11</w:t>
      </w:r>
      <w:r>
        <w:rPr>
          <w:rtl w:val="true"/>
        </w:rPr>
        <w:t xml:space="preserve"> (</w:t>
      </w:r>
      <w:r>
        <w:rPr>
          <w:rtl w:val="true"/>
        </w:rPr>
        <w:t>לא פורסם</w:t>
      </w:r>
      <w:r>
        <w:rPr>
          <w:rtl w:val="true"/>
        </w:rPr>
        <w:t>)).</w:t>
      </w:r>
    </w:p>
    <w:p>
      <w:pPr>
        <w:pStyle w:val="Style14"/>
        <w:ind w:start="1440" w:end="0"/>
        <w:jc w:val="both"/>
        <w:rPr/>
      </w:pPr>
      <w:r>
        <w:rPr>
          <w:rtl w:val="true"/>
        </w:rPr>
      </w:r>
    </w:p>
    <w:p>
      <w:pPr>
        <w:pStyle w:val="Style14"/>
        <w:ind w:start="720" w:end="0"/>
        <w:jc w:val="both"/>
        <w:rPr/>
      </w:pPr>
      <w:r>
        <w:rPr>
          <w:rtl w:val="true"/>
        </w:rPr>
        <w:t>מכאן שאין לגזור גזירה שווה מעניין זה לענייננו</w:t>
      </w:r>
      <w:r>
        <w:rPr>
          <w:rtl w:val="true"/>
        </w:rPr>
        <w:t xml:space="preserve">, </w:t>
      </w:r>
      <w:r>
        <w:rPr>
          <w:rtl w:val="true"/>
        </w:rPr>
        <w:t>כאשר ברור שעמדת בית המשפט העליון היא שאין בעונש זה כדי למצות את הדין עם הנאשם</w:t>
      </w:r>
      <w:r>
        <w:rPr>
          <w:rtl w:val="true"/>
        </w:rPr>
        <w:t>.</w:t>
      </w:r>
    </w:p>
    <w:p>
      <w:pPr>
        <w:pStyle w:val="Style14"/>
        <w:ind w:start="720" w:end="0"/>
        <w:jc w:val="both"/>
        <w:rPr/>
      </w:pPr>
      <w:r>
        <w:rPr>
          <w:rtl w:val="true"/>
        </w:rPr>
      </w:r>
    </w:p>
    <w:p>
      <w:pPr>
        <w:pStyle w:val="Style14"/>
        <w:ind w:hanging="720" w:start="720" w:end="0"/>
        <w:jc w:val="both"/>
        <w:rPr/>
      </w:pPr>
      <w:r>
        <w:rPr/>
        <w:t>10</w:t>
      </w:r>
      <w:r>
        <w:rPr>
          <w:rtl w:val="true"/>
        </w:rPr>
        <w:t>.</w:t>
        <w:tab/>
      </w:r>
      <w:r>
        <w:rPr>
          <w:rtl w:val="true"/>
        </w:rPr>
        <w:t>באשר לבקשת החילוט</w:t>
      </w:r>
      <w:r>
        <w:rPr>
          <w:rtl w:val="true"/>
        </w:rPr>
        <w:t xml:space="preserve">,  </w:t>
      </w:r>
      <w:r>
        <w:rPr>
          <w:rtl w:val="true"/>
        </w:rPr>
        <w:t>ניסיונו של הנאשם לטעון כי אינו בעל הרכב</w:t>
      </w:r>
      <w:r>
        <w:rPr>
          <w:rtl w:val="true"/>
        </w:rPr>
        <w:t xml:space="preserve">, </w:t>
      </w:r>
      <w:r>
        <w:rPr>
          <w:rtl w:val="true"/>
        </w:rPr>
        <w:t>וזאת בהסתמך על העובדה כי הרכב רשום על שמו של אחר</w:t>
      </w:r>
      <w:r>
        <w:rPr>
          <w:rtl w:val="true"/>
        </w:rPr>
        <w:t xml:space="preserve">, </w:t>
      </w:r>
      <w:r>
        <w:rPr>
          <w:rtl w:val="true"/>
        </w:rPr>
        <w:t>אין לה ביסוס</w:t>
      </w:r>
      <w:r>
        <w:rPr>
          <w:rtl w:val="true"/>
        </w:rPr>
        <w:t xml:space="preserve">. </w:t>
      </w:r>
      <w:r>
        <w:rPr>
          <w:rtl w:val="true"/>
        </w:rPr>
        <w:t>זאת אני קובע בהסתמך על טיעוני הנאשם עצמו</w:t>
      </w:r>
      <w:r>
        <w:rPr>
          <w:rtl w:val="true"/>
        </w:rPr>
        <w:t xml:space="preserve">, </w:t>
      </w:r>
      <w:r>
        <w:rPr>
          <w:rtl w:val="true"/>
        </w:rPr>
        <w:t xml:space="preserve">לפיהם שילם עבור הרכב סך של </w:t>
      </w:r>
      <w:r>
        <w:rPr/>
        <w:t>25,000</w:t>
      </w:r>
      <w:r>
        <w:rPr>
          <w:rtl w:val="true"/>
        </w:rPr>
        <w:t xml:space="preserve"> ₪ </w:t>
      </w:r>
      <w:r>
        <w:rPr>
          <w:rtl w:val="true"/>
        </w:rPr>
        <w:t>כמקדמה</w:t>
      </w:r>
      <w:r>
        <w:rPr>
          <w:rtl w:val="true"/>
        </w:rPr>
        <w:t xml:space="preserve">. </w:t>
      </w:r>
      <w:r>
        <w:rPr>
          <w:rtl w:val="true"/>
        </w:rPr>
        <w:t>הנאשם לא פירט את הנסיבות בעטיין לא שונה רישום הבעלות</w:t>
      </w:r>
      <w:r>
        <w:rPr>
          <w:rtl w:val="true"/>
        </w:rPr>
        <w:t xml:space="preserve">, </w:t>
      </w:r>
      <w:r>
        <w:rPr>
          <w:rtl w:val="true"/>
        </w:rPr>
        <w:t>לא הביא תצהיר מטעם הבעלים המקורי</w:t>
      </w:r>
      <w:r>
        <w:rPr>
          <w:rtl w:val="true"/>
        </w:rPr>
        <w:t xml:space="preserve">, </w:t>
      </w:r>
      <w:r>
        <w:rPr>
          <w:rtl w:val="true"/>
        </w:rPr>
        <w:t>ולא הצביע על נימוק אחר שיש בו להצדיק הימנעות מחילוט כלי הרכב</w:t>
      </w:r>
      <w:r>
        <w:rPr>
          <w:rtl w:val="true"/>
        </w:rPr>
        <w:t>.</w:t>
      </w:r>
    </w:p>
    <w:p>
      <w:pPr>
        <w:pStyle w:val="Style14"/>
        <w:ind w:hanging="720" w:start="720" w:end="0"/>
        <w:jc w:val="both"/>
        <w:rPr/>
      </w:pPr>
      <w:r>
        <w:rPr>
          <w:rtl w:val="true"/>
        </w:rPr>
      </w:r>
    </w:p>
    <w:p>
      <w:pPr>
        <w:pStyle w:val="Style14"/>
        <w:ind w:hanging="720" w:start="720" w:end="0"/>
        <w:jc w:val="both"/>
        <w:rPr/>
      </w:pPr>
      <w:r>
        <w:rPr/>
        <w:t>11</w:t>
      </w:r>
      <w:r>
        <w:rPr>
          <w:rtl w:val="true"/>
        </w:rPr>
        <w:t>.</w:t>
        <w:tab/>
      </w:r>
      <w:r>
        <w:rPr>
          <w:rtl w:val="true"/>
        </w:rPr>
        <w:t>לסיכום ולאחר ששקלתי את כל השיקולים הן לקולא והן לחומרה</w:t>
      </w:r>
      <w:r>
        <w:rPr>
          <w:rtl w:val="true"/>
        </w:rPr>
        <w:t xml:space="preserve">. </w:t>
      </w:r>
      <w:r>
        <w:rPr>
          <w:rtl w:val="true"/>
        </w:rPr>
        <w:t>דן את הנאשם לעונשים הבאים</w:t>
      </w:r>
      <w:r>
        <w:rPr>
          <w:rtl w:val="true"/>
        </w:rPr>
        <w:t>:</w:t>
      </w:r>
    </w:p>
    <w:p>
      <w:pPr>
        <w:pStyle w:val="Style14"/>
        <w:ind w:hanging="720" w:start="720" w:end="0"/>
        <w:jc w:val="both"/>
        <w:rPr/>
      </w:pPr>
      <w:r>
        <w:rPr>
          <w:rtl w:val="true"/>
        </w:rPr>
        <w:tab/>
        <w:tab/>
      </w:r>
    </w:p>
    <w:p>
      <w:pPr>
        <w:pStyle w:val="Style14"/>
        <w:ind w:hanging="720" w:start="2160" w:end="0"/>
        <w:jc w:val="both"/>
        <w:rPr/>
      </w:pPr>
      <w:r>
        <w:rPr>
          <w:rtl w:val="true"/>
        </w:rPr>
        <w:t>א</w:t>
      </w:r>
      <w:r>
        <w:rPr>
          <w:rtl w:val="true"/>
        </w:rPr>
        <w:t>.</w:t>
        <w:tab/>
      </w:r>
      <w:r>
        <w:rPr>
          <w:rtl w:val="true"/>
        </w:rPr>
        <w:t xml:space="preserve">אני דן את הנאשם לתשלום קנס בסך </w:t>
      </w:r>
      <w:r>
        <w:rPr/>
        <w:t>10,000</w:t>
      </w:r>
      <w:r>
        <w:rPr>
          <w:rtl w:val="true"/>
        </w:rPr>
        <w:t xml:space="preserve"> ₪ </w:t>
      </w:r>
      <w:r>
        <w:rPr>
          <w:rtl w:val="true"/>
        </w:rPr>
        <w:t xml:space="preserve">או </w:t>
      </w:r>
      <w:r>
        <w:rPr/>
        <w:t>3</w:t>
      </w:r>
      <w:r>
        <w:rPr>
          <w:rtl w:val="true"/>
        </w:rPr>
        <w:t xml:space="preserve"> </w:t>
      </w:r>
      <w:r>
        <w:rPr>
          <w:rtl w:val="true"/>
        </w:rPr>
        <w:t>חודשי מאסר תמורתם בנוסף לכל מאסר אחר שהנאשם מרצה</w:t>
      </w:r>
      <w:r>
        <w:rPr>
          <w:rtl w:val="true"/>
        </w:rPr>
        <w:t xml:space="preserve">. </w:t>
      </w:r>
      <w:r>
        <w:rPr>
          <w:rtl w:val="true"/>
        </w:rPr>
        <w:t xml:space="preserve">הקנס ישולם בתוך </w:t>
      </w:r>
      <w:r>
        <w:rPr/>
        <w:t>120</w:t>
      </w:r>
      <w:r>
        <w:rPr>
          <w:rtl w:val="true"/>
        </w:rPr>
        <w:t xml:space="preserve"> </w:t>
      </w:r>
      <w:r>
        <w:rPr>
          <w:rtl w:val="true"/>
        </w:rPr>
        <w:t>יום החל מהיום</w:t>
      </w:r>
      <w:r>
        <w:rPr>
          <w:rtl w:val="true"/>
        </w:rPr>
        <w:t xml:space="preserve">. </w:t>
      </w:r>
    </w:p>
    <w:p>
      <w:pPr>
        <w:pStyle w:val="Style14"/>
        <w:ind w:hanging="720" w:start="720" w:end="0"/>
        <w:jc w:val="both"/>
        <w:rPr/>
      </w:pPr>
      <w:r>
        <w:rPr>
          <w:rtl w:val="true"/>
        </w:rPr>
      </w:r>
    </w:p>
    <w:p>
      <w:pPr>
        <w:pStyle w:val="Style14"/>
        <w:ind w:hanging="720" w:start="2160" w:end="0"/>
        <w:jc w:val="both"/>
        <w:rPr/>
      </w:pPr>
      <w:r>
        <w:rPr>
          <w:rtl w:val="true"/>
        </w:rPr>
        <w:t>ב</w:t>
      </w:r>
      <w:r>
        <w:rPr>
          <w:rtl w:val="true"/>
        </w:rPr>
        <w:t>.</w:t>
        <w:tab/>
      </w:r>
      <w:r>
        <w:rPr>
          <w:rtl w:val="true"/>
        </w:rPr>
        <w:t>אני דן את הנאשם ל</w:t>
      </w:r>
      <w:r>
        <w:rPr>
          <w:rtl w:val="true"/>
        </w:rPr>
        <w:t xml:space="preserve">- </w:t>
      </w:r>
      <w:r>
        <w:rPr/>
        <w:t>48</w:t>
      </w:r>
      <w:r>
        <w:rPr>
          <w:rtl w:val="true"/>
        </w:rPr>
        <w:t xml:space="preserve"> </w:t>
      </w:r>
      <w:r>
        <w:rPr>
          <w:rtl w:val="true"/>
        </w:rPr>
        <w:t>חודשי מאסר</w:t>
      </w:r>
      <w:r>
        <w:rPr>
          <w:rtl w:val="true"/>
        </w:rPr>
        <w:t xml:space="preserve">, </w:t>
      </w:r>
      <w:r>
        <w:rPr>
          <w:rtl w:val="true"/>
        </w:rPr>
        <w:t xml:space="preserve">מתוכם </w:t>
      </w:r>
      <w:r>
        <w:rPr/>
        <w:t>36</w:t>
      </w:r>
      <w:r>
        <w:rPr>
          <w:rtl w:val="true"/>
        </w:rPr>
        <w:t xml:space="preserve"> </w:t>
      </w:r>
      <w:r>
        <w:rPr>
          <w:rtl w:val="true"/>
        </w:rPr>
        <w:t xml:space="preserve">לנשיאה בפועל בניכוי ימי מעצרו והיתרה על תנאי למשך </w:t>
      </w:r>
      <w:r>
        <w:rPr/>
        <w:t>3</w:t>
      </w:r>
      <w:r>
        <w:rPr>
          <w:rtl w:val="true"/>
        </w:rPr>
        <w:t xml:space="preserve"> </w:t>
      </w:r>
      <w:r>
        <w:rPr>
          <w:rtl w:val="true"/>
        </w:rPr>
        <w:t>שנים</w:t>
      </w:r>
      <w:r>
        <w:rPr>
          <w:rtl w:val="true"/>
        </w:rPr>
        <w:t xml:space="preserve">, </w:t>
      </w:r>
      <w:r>
        <w:rPr>
          <w:rtl w:val="true"/>
        </w:rPr>
        <w:t>והתנאי שהנאשם לא יעבור בפרק זמן זה</w:t>
      </w:r>
      <w:r>
        <w:rPr>
          <w:rtl w:val="true"/>
        </w:rPr>
        <w:t xml:space="preserve">, </w:t>
      </w:r>
      <w:r>
        <w:rPr>
          <w:rtl w:val="true"/>
        </w:rPr>
        <w:t>והחל מיום שחרורו</w:t>
      </w:r>
      <w:r>
        <w:rPr>
          <w:rtl w:val="true"/>
        </w:rPr>
        <w:t xml:space="preserve">, </w:t>
      </w:r>
      <w:r>
        <w:rPr>
          <w:rtl w:val="true"/>
        </w:rPr>
        <w:t>על עבירה מהעבירות בהן הורשע בתיק זה</w:t>
      </w:r>
      <w:r>
        <w:rPr>
          <w:rtl w:val="true"/>
        </w:rPr>
        <w:t xml:space="preserve">, </w:t>
      </w:r>
      <w:r>
        <w:rPr>
          <w:b/>
          <w:b/>
          <w:bCs/>
          <w:u w:val="single"/>
          <w:rtl w:val="true"/>
        </w:rPr>
        <w:t>ולמעט</w:t>
      </w:r>
      <w:r>
        <w:rPr>
          <w:rtl w:val="true"/>
        </w:rPr>
        <w:t xml:space="preserve"> עבירה של נהיגה ללא פוליסת ביטוח</w:t>
      </w:r>
      <w:r>
        <w:rPr>
          <w:rtl w:val="true"/>
        </w:rPr>
        <w:t xml:space="preserve">, </w:t>
      </w:r>
      <w:r>
        <w:rPr>
          <w:rtl w:val="true"/>
        </w:rPr>
        <w:t xml:space="preserve">לפי </w:t>
      </w:r>
      <w:hyperlink r:id="rId18">
        <w:r>
          <w:rPr>
            <w:rStyle w:val="Hyperlink"/>
            <w:color w:val="0000FF"/>
            <w:u w:val="single"/>
            <w:rtl w:val="true"/>
          </w:rPr>
          <w:t xml:space="preserve">סעיף </w:t>
        </w:r>
        <w:r>
          <w:rPr>
            <w:rStyle w:val="Hyperlink"/>
            <w:color w:val="0000FF"/>
            <w:u w:val="single"/>
          </w:rPr>
          <w:t>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 xml:space="preserve">- </w:t>
      </w:r>
      <w:hyperlink r:id="rId19">
        <w:r>
          <w:rPr>
            <w:rStyle w:val="Hyperlink"/>
            <w:color w:val="0000FF"/>
            <w:u w:val="single"/>
          </w:rPr>
          <w:t>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20">
        <w:r>
          <w:rPr>
            <w:rStyle w:val="Hyperlink"/>
            <w:rtl w:val="true"/>
          </w:rPr>
          <w:t>פקודת ביטוח רכב מנועי</w:t>
        </w:r>
      </w:hyperlink>
      <w:r>
        <w:rPr>
          <w:rtl w:val="true"/>
        </w:rPr>
        <w:t xml:space="preserve"> </w:t>
      </w:r>
      <w:r>
        <w:rPr>
          <w:rtl w:val="true"/>
        </w:rPr>
        <w:t>[</w:t>
      </w:r>
      <w:r>
        <w:rPr>
          <w:rtl w:val="true"/>
        </w:rPr>
        <w:t>נוסח חדש</w:t>
      </w:r>
      <w:r>
        <w:rPr>
          <w:rtl w:val="true"/>
        </w:rPr>
        <w:t xml:space="preserve">], </w:t>
      </w:r>
      <w:r>
        <w:rPr>
          <w:rtl w:val="true"/>
        </w:rPr>
        <w:t>תש</w:t>
      </w:r>
      <w:r>
        <w:rPr>
          <w:rtl w:val="true"/>
        </w:rPr>
        <w:t>"</w:t>
      </w:r>
      <w:r>
        <w:rPr>
          <w:rtl w:val="true"/>
        </w:rPr>
        <w:t>ל</w:t>
      </w:r>
      <w:r>
        <w:rPr>
          <w:rtl w:val="true"/>
        </w:rPr>
        <w:t>-</w:t>
      </w:r>
      <w:r>
        <w:rPr/>
        <w:t>1970</w:t>
      </w:r>
      <w:r>
        <w:rPr>
          <w:rtl w:val="true"/>
        </w:rPr>
        <w:t xml:space="preserve">, </w:t>
      </w:r>
      <w:r>
        <w:rPr>
          <w:rtl w:val="true"/>
        </w:rPr>
        <w:t>ויורשע בגינן</w:t>
      </w:r>
      <w:r>
        <w:rPr>
          <w:rtl w:val="true"/>
        </w:rPr>
        <w:t>.</w:t>
      </w:r>
    </w:p>
    <w:p>
      <w:pPr>
        <w:pStyle w:val="Style14"/>
        <w:ind w:hanging="720" w:start="2160" w:end="0"/>
        <w:jc w:val="both"/>
        <w:rPr/>
      </w:pPr>
      <w:r>
        <w:rPr>
          <w:rtl w:val="true"/>
        </w:rPr>
      </w:r>
    </w:p>
    <w:p>
      <w:pPr>
        <w:pStyle w:val="Style14"/>
        <w:ind w:hanging="720" w:start="2160" w:end="0"/>
        <w:jc w:val="both"/>
        <w:rPr/>
      </w:pPr>
      <w:r>
        <w:rPr>
          <w:rtl w:val="true"/>
        </w:rPr>
        <w:t>ג</w:t>
      </w:r>
      <w:r>
        <w:rPr>
          <w:rtl w:val="true"/>
        </w:rPr>
        <w:t>.</w:t>
        <w:tab/>
      </w:r>
      <w:r>
        <w:rPr>
          <w:rtl w:val="true"/>
        </w:rPr>
        <w:t xml:space="preserve">אני פוסל את הנאשם מלהחזיק ולקבל רישיון נהיגה לתקופה של </w:t>
      </w:r>
      <w:r>
        <w:rPr/>
        <w:t>10</w:t>
      </w:r>
      <w:r>
        <w:rPr>
          <w:rtl w:val="true"/>
        </w:rPr>
        <w:t xml:space="preserve"> </w:t>
      </w:r>
      <w:r>
        <w:rPr>
          <w:rtl w:val="true"/>
        </w:rPr>
        <w:t>שנים החל מיום שחרורו</w:t>
      </w:r>
      <w:r>
        <w:rPr>
          <w:rtl w:val="true"/>
        </w:rPr>
        <w:t>.</w:t>
      </w:r>
    </w:p>
    <w:p>
      <w:pPr>
        <w:pStyle w:val="Style14"/>
        <w:ind w:hanging="720" w:start="2160" w:end="0"/>
        <w:jc w:val="both"/>
        <w:rPr/>
      </w:pPr>
      <w:r>
        <w:rPr>
          <w:rtl w:val="true"/>
        </w:rPr>
      </w:r>
    </w:p>
    <w:p>
      <w:pPr>
        <w:pStyle w:val="Style14"/>
        <w:ind w:hanging="720" w:start="2160" w:end="0"/>
        <w:jc w:val="both"/>
        <w:rPr/>
      </w:pPr>
      <w:r>
        <w:rPr>
          <w:rtl w:val="true"/>
        </w:rPr>
        <w:t>ד</w:t>
      </w:r>
      <w:r>
        <w:rPr>
          <w:rtl w:val="true"/>
        </w:rPr>
        <w:t>.</w:t>
        <w:tab/>
      </w:r>
      <w:r>
        <w:rPr>
          <w:rtl w:val="true"/>
        </w:rPr>
        <w:t xml:space="preserve">אני מורה על חילוט רכב המאזדה שמספרו </w:t>
      </w:r>
      <w:r>
        <w:rPr/>
        <w:t>16-901-61</w:t>
      </w:r>
      <w:r>
        <w:rPr>
          <w:rtl w:val="true"/>
        </w:rPr>
        <w:t>.</w:t>
      </w:r>
    </w:p>
    <w:p>
      <w:pPr>
        <w:pStyle w:val="Style14"/>
        <w:ind w:end="0"/>
        <w:jc w:val="both"/>
        <w:rPr/>
      </w:pPr>
      <w:r>
        <w:rPr>
          <w:rtl w:val="true"/>
        </w:rPr>
      </w:r>
    </w:p>
    <w:p>
      <w:pPr>
        <w:pStyle w:val="Style14"/>
        <w:ind w:end="0"/>
        <w:jc w:val="both"/>
        <w:rPr>
          <w:b/>
          <w:bCs/>
          <w:u w:val="single"/>
        </w:rPr>
      </w:pPr>
      <w:r>
        <w:rPr>
          <w:b/>
          <w:bCs/>
          <w:u w:val="single"/>
          <w:rtl w:val="true"/>
        </w:rPr>
      </w:r>
    </w:p>
    <w:p>
      <w:pPr>
        <w:pStyle w:val="Style14"/>
        <w:ind w:end="0"/>
        <w:jc w:val="both"/>
        <w:rPr>
          <w:b/>
          <w:bCs/>
          <w:u w:val="single"/>
        </w:rPr>
      </w:pPr>
      <w:r>
        <w:rPr>
          <w:b/>
          <w:bCs/>
          <w:u w:val="single"/>
          <w:rtl w:val="true"/>
        </w:rPr>
      </w:r>
    </w:p>
    <w:p>
      <w:pPr>
        <w:pStyle w:val="Style14"/>
        <w:ind w:end="0"/>
        <w:jc w:val="both"/>
        <w:rPr>
          <w:b/>
          <w:bCs/>
          <w:u w:val="single"/>
        </w:rPr>
      </w:pPr>
      <w:r>
        <w:rPr>
          <w:b/>
          <w:bCs/>
          <w:u w:val="single"/>
          <w:rtl w:val="true"/>
        </w:rPr>
      </w:r>
    </w:p>
    <w:p>
      <w:pPr>
        <w:pStyle w:val="Style14"/>
        <w:ind w:end="0"/>
        <w:jc w:val="both"/>
        <w:rPr>
          <w:b/>
          <w:bCs/>
          <w:u w:val="single"/>
        </w:rPr>
      </w:pPr>
      <w:r>
        <w:rPr>
          <w:b/>
          <w:bCs/>
          <w:u w:val="single"/>
          <w:rtl w:val="true"/>
        </w:rPr>
      </w:r>
    </w:p>
    <w:p>
      <w:pPr>
        <w:pStyle w:val="Style14"/>
        <w:ind w:end="0"/>
        <w:jc w:val="both"/>
        <w:rPr>
          <w:b/>
          <w:bCs/>
          <w:u w:val="single"/>
        </w:rPr>
      </w:pPr>
      <w:r>
        <w:rPr>
          <w:b/>
          <w:bCs/>
          <w:u w:val="single"/>
          <w:rtl w:val="true"/>
        </w:rPr>
      </w:r>
    </w:p>
    <w:p>
      <w:pPr>
        <w:pStyle w:val="Style14"/>
        <w:ind w:end="0"/>
        <w:jc w:val="both"/>
        <w:rPr>
          <w:b/>
          <w:bCs/>
          <w:u w:val="single"/>
        </w:rPr>
      </w:pPr>
      <w:r>
        <w:rPr>
          <w:b/>
          <w:b/>
          <w:bCs/>
          <w:u w:val="single"/>
          <w:rtl w:val="true"/>
        </w:rPr>
        <w:t xml:space="preserve">זכות ערעור לבית המשפט העליון בתוך </w:t>
      </w:r>
      <w:r>
        <w:rPr>
          <w:b/>
          <w:bCs/>
          <w:u w:val="single"/>
        </w:rPr>
        <w:t>45</w:t>
      </w:r>
      <w:r>
        <w:rPr>
          <w:b/>
          <w:bCs/>
          <w:u w:val="single"/>
          <w:rtl w:val="true"/>
        </w:rPr>
        <w:t xml:space="preserve"> </w:t>
      </w:r>
      <w:r>
        <w:rPr>
          <w:b/>
          <w:b/>
          <w:bCs/>
          <w:u w:val="single"/>
          <w:rtl w:val="true"/>
        </w:rPr>
        <w:t>יום מהיום</w:t>
      </w:r>
      <w:r>
        <w:rPr>
          <w:b/>
          <w:bCs/>
          <w:u w:val="single"/>
          <w:rtl w:val="true"/>
        </w:rPr>
        <w:t>.</w:t>
      </w:r>
    </w:p>
    <w:p>
      <w:pPr>
        <w:pStyle w:val="Style14"/>
        <w:ind w:end="0"/>
        <w:jc w:val="both"/>
        <w:rPr>
          <w:b/>
          <w:bCs/>
          <w:sz w:val="6"/>
          <w:szCs w:val="6"/>
        </w:rPr>
      </w:pPr>
      <w:r>
        <w:rPr>
          <w:b/>
          <w:bCs/>
          <w:sz w:val="6"/>
          <w:szCs w:val="6"/>
          <w:rtl w:val="true"/>
        </w:rPr>
        <w:t>&lt;</w:t>
      </w:r>
      <w:r>
        <w:rPr>
          <w:b/>
          <w:bCs/>
          <w:sz w:val="6"/>
          <w:szCs w:val="6"/>
        </w:rPr>
        <w:t>#4#</w:t>
      </w:r>
      <w:r>
        <w:rPr>
          <w:b/>
          <w:bCs/>
          <w:sz w:val="6"/>
          <w:szCs w:val="6"/>
          <w:rtl w:val="true"/>
        </w:rPr>
        <w:t>&gt;</w:t>
      </w:r>
    </w:p>
    <w:p>
      <w:pPr>
        <w:pStyle w:val="Normal"/>
        <w:ind w:end="0"/>
        <w:jc w:val="end"/>
        <w:rPr>
          <w:b/>
          <w:bCs/>
          <w:sz w:val="6"/>
          <w:szCs w:val="6"/>
        </w:rPr>
      </w:pPr>
      <w:r>
        <w:rPr>
          <w:b/>
          <w:bCs/>
          <w:sz w:val="6"/>
          <w:szCs w:val="6"/>
          <w:rtl w:val="true"/>
        </w:rPr>
      </w:r>
    </w:p>
    <w:p>
      <w:pPr>
        <w:pStyle w:val="Normal"/>
        <w:ind w:end="0"/>
        <w:jc w:val="end"/>
        <w:rPr>
          <w:b/>
          <w:bCs/>
          <w:color w:val="FFFFFF"/>
          <w:sz w:val="2"/>
          <w:szCs w:val="2"/>
        </w:rPr>
      </w:pPr>
      <w:r>
        <w:rPr>
          <w:b/>
          <w:bCs/>
          <w:color w:val="FFFFFF"/>
          <w:sz w:val="2"/>
          <w:szCs w:val="2"/>
          <w:rtl w:val="true"/>
        </w:rPr>
      </w:r>
    </w:p>
    <w:p>
      <w:pPr>
        <w:pStyle w:val="Normal"/>
        <w:ind w:end="0"/>
        <w:jc w:val="end"/>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תאופיק כתילי </w:t>
      </w:r>
      <w:r>
        <w:rPr>
          <w:color w:val="000000"/>
          <w:sz w:val="22"/>
          <w:szCs w:val="22"/>
        </w:rPr>
        <w:t>54678313</w:t>
      </w:r>
    </w:p>
    <w:p>
      <w:pPr>
        <w:pStyle w:val="Normal"/>
        <w:ind w:end="0"/>
        <w:jc w:val="end"/>
        <w:rPr/>
      </w:pPr>
      <w:r>
        <w:rPr>
          <w:b/>
          <w:bCs/>
          <w:color w:val="FFFFFF"/>
          <w:sz w:val="2"/>
          <w:szCs w:val="2"/>
        </w:rPr>
        <w:t>54678313</w:t>
      </w:r>
      <w:r>
        <w:rPr>
          <w:b/>
          <w:b/>
          <w:bCs/>
          <w:rtl w:val="true"/>
        </w:rPr>
        <w:t>ניתנה והודעה היום כ</w:t>
      </w:r>
      <w:r>
        <w:rPr>
          <w:b/>
          <w:bCs/>
          <w:rtl w:val="true"/>
        </w:rPr>
        <w:t xml:space="preserve">' </w:t>
      </w:r>
      <w:r>
        <w:rPr>
          <w:b/>
          <w:b/>
          <w:bCs/>
          <w:rtl w:val="true"/>
        </w:rPr>
        <w:t>שבט תשע</w:t>
      </w:r>
      <w:r>
        <w:rPr>
          <w:b/>
          <w:bCs/>
          <w:rtl w:val="true"/>
        </w:rPr>
        <w:t>"</w:t>
      </w:r>
      <w:r>
        <w:rPr>
          <w:b/>
          <w:b/>
          <w:bCs/>
          <w:rtl w:val="true"/>
        </w:rPr>
        <w:t>ב</w:t>
      </w:r>
      <w:r>
        <w:rPr>
          <w:b/>
          <w:bCs/>
          <w:rtl w:val="true"/>
        </w:rPr>
        <w:t xml:space="preserve">, </w:t>
      </w:r>
      <w:r>
        <w:rPr>
          <w:b/>
          <w:bCs/>
        </w:rPr>
        <w:t>13/02/2012</w:t>
      </w:r>
      <w:r>
        <w:rPr>
          <w:b/>
          <w:bCs/>
          <w:rtl w:val="true"/>
        </w:rPr>
        <w:t xml:space="preserve"> </w:t>
      </w:r>
      <w:r>
        <w:rPr>
          <w:b/>
          <w:b/>
          <w:bCs/>
          <w:rtl w:val="true"/>
        </w:rPr>
        <w:t>במעמד הנוכחים</w:t>
      </w:r>
      <w:r>
        <w:rPr>
          <w:b/>
          <w:bCs/>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pPr>
            <w:r>
              <w:rPr>
                <w:b/>
                <w:b/>
                <w:bCs/>
                <w:rtl w:val="true"/>
              </w:rPr>
              <w:t>תאופיק</w:t>
            </w:r>
            <w:r>
              <w:rPr>
                <w:b/>
                <w:b/>
                <w:bCs/>
                <w:rtl w:val="true"/>
              </w:rPr>
              <w:t xml:space="preserve"> </w:t>
            </w:r>
            <w:r>
              <w:rPr>
                <w:b/>
                <w:b/>
                <w:bCs/>
                <w:rtl w:val="true"/>
              </w:rPr>
              <w:t>כתילי</w:t>
            </w:r>
            <w:r>
              <w:rPr>
                <w:b/>
                <w:bCs/>
                <w:rtl w:val="true"/>
              </w:rPr>
              <w:t xml:space="preserve">, </w:t>
            </w:r>
            <w:r>
              <w:rPr>
                <w:b/>
                <w:b/>
                <w:bCs/>
                <w:rtl w:val="true"/>
              </w:rPr>
              <w:t>סגן נשיא</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1"/>
      <w:footerReference w:type="default" r:id="rId22"/>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32917-08-11</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רפיק מחאמיד</w:t>
    </w:r>
  </w:p>
</w:hdr>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Style14">
    <w:name w:val="פזית"/>
    <w:basedOn w:val="Normal"/>
    <w:qFormat/>
    <w:pPr>
      <w:spacing w:lineRule="auto" w:line="360"/>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275" TargetMode="External"/><Relationship Id="rId5" Type="http://schemas.openxmlformats.org/officeDocument/2006/relationships/hyperlink" Target="http://www.nevo.co.il/law/70301/332.2" TargetMode="External"/><Relationship Id="rId6" Type="http://schemas.openxmlformats.org/officeDocument/2006/relationships/hyperlink" Target="http://www.nevo.co.il/law/74501" TargetMode="External"/><Relationship Id="rId7" Type="http://schemas.openxmlformats.org/officeDocument/2006/relationships/hyperlink" Target="http://www.nevo.co.il/law/74501/2.a" TargetMode="External"/><Relationship Id="rId8" Type="http://schemas.openxmlformats.org/officeDocument/2006/relationships/hyperlink" Target="http://www.nevo.co.il/law/74501/2.b" TargetMode="External"/><Relationship Id="rId9" Type="http://schemas.openxmlformats.org/officeDocument/2006/relationships/hyperlink" Target="http://www.nevo.co.il/law/70301/332.2"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12" Type="http://schemas.openxmlformats.org/officeDocument/2006/relationships/hyperlink" Target="http://www.nevo.co.il/law/70301/275" TargetMode="External"/><Relationship Id="rId13" Type="http://schemas.openxmlformats.org/officeDocument/2006/relationships/hyperlink" Target="http://www.nevo.co.il/law/74501/2.a" TargetMode="External"/><Relationship Id="rId14" Type="http://schemas.openxmlformats.org/officeDocument/2006/relationships/hyperlink" Target="http://www.nevo.co.il/law/74501/2.b" TargetMode="External"/><Relationship Id="rId15" Type="http://schemas.openxmlformats.org/officeDocument/2006/relationships/hyperlink" Target="http://www.nevo.co.il/law/74501" TargetMode="External"/><Relationship Id="rId16" Type="http://schemas.openxmlformats.org/officeDocument/2006/relationships/hyperlink" Target="http://www.nevo.co.il/case/6159180" TargetMode="External"/><Relationship Id="rId17" Type="http://schemas.openxmlformats.org/officeDocument/2006/relationships/hyperlink" Target="http://www.nevo.co.il/case/5601013" TargetMode="External"/><Relationship Id="rId18" Type="http://schemas.openxmlformats.org/officeDocument/2006/relationships/hyperlink" Target="http://www.nevo.co.il/law/74501/2.a" TargetMode="External"/><Relationship Id="rId19" Type="http://schemas.openxmlformats.org/officeDocument/2006/relationships/hyperlink" Target="http://www.nevo.co.il/law/74501/2.b" TargetMode="External"/><Relationship Id="rId20" Type="http://schemas.openxmlformats.org/officeDocument/2006/relationships/hyperlink" Target="http://www.nevo.co.il/law/74501"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2016-03-14T10:53:00Z</dcterms:created>
  <dc:creator> </dc:creator>
  <dc:description/>
  <cp:keywords/>
  <dc:language>en-IL</dc:language>
  <cp:lastModifiedBy>hofit</cp:lastModifiedBy>
  <dcterms:modified xsi:type="dcterms:W3CDTF">2016-03-14T10:53:00Z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ישראל;פרקליטות מחוז צפון</vt:lpwstr>
  </property>
  <property fmtid="{D5CDD505-2E9C-101B-9397-08002B2CF9AE}" pid="3" name="APPELLEE">
    <vt:lpwstr>רפיק מחאמיד</vt:lpwstr>
  </property>
  <property fmtid="{D5CDD505-2E9C-101B-9397-08002B2CF9AE}" pid="4" name="CASESLISTTMP1">
    <vt:lpwstr>6159180;5601013</vt:lpwstr>
  </property>
  <property fmtid="{D5CDD505-2E9C-101B-9397-08002B2CF9AE}" pid="5" name="CITY">
    <vt:lpwstr>נצ'</vt:lpwstr>
  </property>
  <property fmtid="{D5CDD505-2E9C-101B-9397-08002B2CF9AE}" pid="6" name="DATE">
    <vt:lpwstr>20120213</vt:lpwstr>
  </property>
  <property fmtid="{D5CDD505-2E9C-101B-9397-08002B2CF9AE}" pid="7" name="JUDGE">
    <vt:lpwstr>תאופיק כתילי</vt:lpwstr>
  </property>
  <property fmtid="{D5CDD505-2E9C-101B-9397-08002B2CF9AE}" pid="8" name="LAWLISTTMP1">
    <vt:lpwstr>70301/332.2;144.b;275</vt:lpwstr>
  </property>
  <property fmtid="{D5CDD505-2E9C-101B-9397-08002B2CF9AE}" pid="9" name="LAWLISTTMP2">
    <vt:lpwstr>74501/002.a:2;002.b:2</vt:lpwstr>
  </property>
  <property fmtid="{D5CDD505-2E9C-101B-9397-08002B2CF9AE}" pid="10" name="LAWYER">
    <vt:lpwstr>הובא ו;הובא ו עלא אגברייה;יערה לב</vt:lpwstr>
  </property>
  <property fmtid="{D5CDD505-2E9C-101B-9397-08002B2CF9AE}" pid="11" name="NEWPARTA">
    <vt:lpwstr>32917</vt:lpwstr>
  </property>
  <property fmtid="{D5CDD505-2E9C-101B-9397-08002B2CF9AE}" pid="12" name="NEWPARTB">
    <vt:lpwstr>08</vt:lpwstr>
  </property>
  <property fmtid="{D5CDD505-2E9C-101B-9397-08002B2CF9AE}" pid="13" name="NEWPARTC">
    <vt:lpwstr>11</vt:lpwstr>
  </property>
  <property fmtid="{D5CDD505-2E9C-101B-9397-08002B2CF9AE}" pid="14" name="NEWPROC">
    <vt:lpwstr>תפ</vt:lpwstr>
  </property>
  <property fmtid="{D5CDD505-2E9C-101B-9397-08002B2CF9AE}" pid="15" name="PSAKDIN">
    <vt:lpwstr>גזר-דין</vt:lpwstr>
  </property>
  <property fmtid="{D5CDD505-2E9C-101B-9397-08002B2CF9AE}" pid="16" name="TYPE">
    <vt:lpwstr>2</vt:lpwstr>
  </property>
  <property fmtid="{D5CDD505-2E9C-101B-9397-08002B2CF9AE}" pid="17" name="TYPE_ABS_DATE">
    <vt:lpwstr>390020120213</vt:lpwstr>
  </property>
  <property fmtid="{D5CDD505-2E9C-101B-9397-08002B2CF9AE}" pid="18" name="TYPE_N_DATE">
    <vt:lpwstr>39020120213</vt:lpwstr>
  </property>
  <property fmtid="{D5CDD505-2E9C-101B-9397-08002B2CF9AE}" pid="19" name="WORDNUMPAGES">
    <vt:lpwstr>5</vt:lpwstr>
  </property>
</Properties>
</file>