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33070-12-11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עלואן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מרץ </w:t>
            </w:r>
            <w:r>
              <w:rPr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ind w:end="0"/>
        <w:jc w:val="start"/>
        <w:rPr>
          <w:rFonts w:ascii="Tahoma" w:hAnsi="Tahoma" w:cs="Tahoma"/>
          <w:b/>
          <w:bCs/>
          <w:color w:val="000080"/>
          <w:sz w:val="22"/>
          <w:szCs w:val="20"/>
        </w:rPr>
      </w:pPr>
      <w:r>
        <w:rPr>
          <w:rFonts w:cs="Tahoma" w:ascii="Tahoma" w:hAnsi="Tahoma"/>
          <w:b/>
          <w:bCs/>
          <w:color w:val="000080"/>
          <w:sz w:val="22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/>
            </w:pPr>
            <w:r>
              <w:rPr/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33098-12-11</w:t>
            </w:r>
          </w:p>
        </w:tc>
      </w:tr>
    </w:tbl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2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ה מ א ש י מ 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</w:rPr>
            </w:pPr>
            <w:r>
              <w:rPr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באמצעות פרקליטות מחוז צפון 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2"/>
              </w:rPr>
            </w:pPr>
            <w:bookmarkStart w:id="2" w:name="FirstLawyer"/>
            <w:bookmarkEnd w:id="2"/>
            <w:r>
              <w:rPr>
                <w:b/>
                <w:b/>
                <w:bCs/>
                <w:rtl w:val="true"/>
              </w:rPr>
              <w:t>ה נ א ש מ י 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1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 xml:space="preserve">עלי עלואן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rtl w:val="true"/>
              </w:rPr>
              <w:t xml:space="preserve">      </w:t>
            </w:r>
            <w:r>
              <w:rPr>
                <w:b/>
                <w:b/>
                <w:bCs/>
                <w:sz w:val="20"/>
                <w:sz w:val="20"/>
                <w:szCs w:val="20"/>
                <w:rtl w:val="true"/>
              </w:rPr>
              <w:t>באמצעות ב</w:t>
            </w:r>
            <w:r>
              <w:rPr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0"/>
                <w:rtl w:val="true"/>
              </w:rPr>
              <w:t>כ עוה</w:t>
            </w:r>
            <w:r>
              <w:rPr>
                <w:b/>
                <w:bCs/>
                <w:sz w:val="20"/>
                <w:szCs w:val="20"/>
                <w:rtl w:val="true"/>
              </w:rPr>
              <w:t>"</w:t>
            </w:r>
            <w:r>
              <w:rPr>
                <w:b/>
                <w:b/>
                <w:bCs/>
                <w:sz w:val="20"/>
                <w:sz w:val="20"/>
                <w:szCs w:val="20"/>
                <w:rtl w:val="true"/>
              </w:rPr>
              <w:t xml:space="preserve">ד דאוד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>ח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 xml:space="preserve">אלד אבו עודה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3</w:t>
            </w:r>
            <w:r>
              <w:rPr>
                <w:b/>
                <w:bCs/>
                <w:rtl w:val="true"/>
              </w:rPr>
              <w:t xml:space="preserve">.  </w:t>
            </w:r>
            <w:r>
              <w:rPr>
                <w:b/>
                <w:b/>
                <w:bCs/>
                <w:rtl w:val="true"/>
              </w:rPr>
              <w:t xml:space="preserve">פייסל אסעד </w:t>
            </w:r>
          </w:p>
        </w:tc>
      </w:tr>
    </w:tbl>
    <w:p>
      <w:pPr>
        <w:pStyle w:val="Normal"/>
        <w:ind w:end="0"/>
        <w:jc w:val="start"/>
        <w:rPr>
          <w:sz w:val="22"/>
        </w:rPr>
      </w:pPr>
      <w:r>
        <w:rPr>
          <w:sz w:val="22"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22"/>
        </w:rPr>
      </w:pPr>
      <w:r>
        <w:rPr>
          <w:b/>
          <w:b/>
          <w:bCs/>
          <w:rtl w:val="true"/>
        </w:rPr>
        <w:t>נוכחים</w:t>
      </w:r>
      <w:r>
        <w:rPr>
          <w:rtl w:val="true"/>
        </w:rPr>
        <w:t>: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בשם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מייסא זועבי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בשם 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דאוד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 xml:space="preserve">בעצמו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עצור 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ascii="Arial" w:hAnsi="Arial" w:eastAsia="David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</w:rPr>
      </w:pPr>
      <w:r>
        <w:rPr>
          <w:rFonts w:eastAsia="David" w:cs="Arial" w:ascii="Arial" w:hAnsi="Arial"/>
          <w:b/>
          <w:bCs/>
          <w:sz w:val="28"/>
          <w:szCs w:val="28"/>
          <w:rtl w:val="true"/>
        </w:rPr>
      </w:r>
    </w:p>
    <w:p>
      <w:pPr>
        <w:pStyle w:val="David"/>
        <w:ind w:end="0"/>
        <w:jc w:val="center"/>
        <w:rPr>
          <w:rFonts w:ascii="Arial" w:hAnsi="Arial" w:eastAsia="David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eastAsia="David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David"/>
        <w:ind w:end="0"/>
        <w:jc w:val="both"/>
        <w:rPr>
          <w:rFonts w:ascii="David" w:hAnsi="David" w:eastAsia="David" w:cs="David"/>
          <w:b/>
          <w:bCs/>
          <w:sz w:val="28"/>
          <w:szCs w:val="28"/>
          <w:u w:val="single"/>
        </w:rPr>
      </w:pPr>
      <w:r>
        <w:rPr>
          <w:rFonts w:eastAsia="David" w:cs="David" w:ascii="David" w:hAnsi="David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העבירות בהן הסתבך נאשם צעיר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 xml:space="preserve">כבן </w:t>
      </w: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cs="David"/>
          <w:rtl w:val="true"/>
        </w:rPr>
        <w:t>שנים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חסר כל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הינן 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כל אשר קושר עצמו לעבירות בנשק מעיד על עצמו כי איננו מבין את חומרתן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כך גם על פי תסקיר המבחן הינו אדם צעיר לימים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בין למשפחה נורמטיבית אשר עסק בפרנסת משפחתו לאור הקושי ודלות האמצעים של המשפחה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הנאשם הזה דאג לפרנסת אחיו הקטינים ועבד בעבודות בניין קשות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על פי תסקיר המבחן הנאשם אדם נורמטיבי בעל קווי אישיות רגישים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קונקרטים וחיוביים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 xml:space="preserve">האירוע הינו חריג הנובע ממעשה פזיזות וחוסר שיקול דעת ומהשפעות חברתיות </w:t>
      </w:r>
      <w:r>
        <w:rPr>
          <w:rFonts w:ascii="David" w:hAnsi="David" w:cs="David"/>
          <w:rtl w:val="true"/>
        </w:rPr>
        <w:t>–</w:t>
      </w:r>
      <w:r>
        <w:rPr>
          <w:rFonts w:ascii="David" w:hAnsi="David" w:cs="David"/>
          <w:rtl w:val="true"/>
        </w:rPr>
        <w:t xml:space="preserve"> כך על פי תסקיר המבחן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rtl w:val="true"/>
        </w:rPr>
        <w:t>הצדדים הגיעו להסדר טיעון אשר בין השיקולים שהביאו אותם לכך הינה הודאתו המיידית של הנאשם במשטרה ובבית המשפט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גילו הצעיר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ותפקודו הנורמטיבי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אני סבורה שהסדר הטיעון משכלל נכונה את כל האלמנטים הדורשים לצורך 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לפיכך אני מאמצת הסדר הטיעון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מטילה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א</w:t>
      </w:r>
      <w:r>
        <w:rPr>
          <w:rFonts w:cs="David" w:ascii="David" w:hAnsi="David"/>
          <w:b/>
          <w:bCs/>
          <w:rtl w:val="true"/>
        </w:rPr>
        <w:t xml:space="preserve">. </w:t>
        <w:tab/>
      </w:r>
      <w:r>
        <w:rPr>
          <w:rFonts w:cs="David" w:ascii="David" w:hAnsi="David"/>
          <w:b/>
          <w:bCs/>
        </w:rPr>
        <w:t>12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חודשי מאסר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בניכוי ימי מעצרו מיום </w:t>
      </w:r>
      <w:r>
        <w:rPr>
          <w:rFonts w:cs="David" w:ascii="David" w:hAnsi="David"/>
          <w:b/>
          <w:bCs/>
        </w:rPr>
        <w:t>13/12/11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. </w:t>
        <w:tab/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על 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למשך שלוש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התנאי יחול על כל עבירות בנשק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. </w:t>
        <w:tab/>
      </w:r>
      <w:r>
        <w:rPr>
          <w:b/>
          <w:b/>
          <w:bCs/>
          <w:rtl w:val="true"/>
        </w:rPr>
        <w:t xml:space="preserve">הנאשם ישלם קנס בסך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 מאסר תמורתם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הקנס ישולם ב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Cs/>
          <w:u w:val="single"/>
        </w:rPr>
        <w:t>10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 xml:space="preserve">תשלומים שווים ורצופים שיחלו מתום </w:t>
      </w:r>
      <w:r>
        <w:rPr>
          <w:b/>
          <w:bCs/>
          <w:u w:val="single"/>
        </w:rPr>
        <w:t>60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מיום שחרורו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</w:rPr>
      </w:pP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  <w:t>&lt;</w:t>
      </w:r>
      <w:r>
        <w:rPr>
          <w:rFonts w:cs="Times New Roman" w:ascii="Times New Roman" w:hAnsi="Times New Roman"/>
          <w:sz w:val="6"/>
          <w:szCs w:val="6"/>
        </w:rPr>
        <w:t>#7#</w:t>
      </w:r>
      <w:r>
        <w:rPr>
          <w:rFonts w:cs="Times New Roman" w:ascii="Times New Roman" w:hAnsi="Times New Roman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 אדר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21/03/2012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נחמה מוניץ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נחמה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מוניץ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33070-12-11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עלי עלואן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2012-03-25T12:39:00Z</dcterms:created>
  <dc:creator> </dc:creator>
  <dc:description/>
  <cp:keywords/>
  <dc:language>en-IL</dc:language>
  <cp:lastModifiedBy>eli</cp:lastModifiedBy>
  <dcterms:modified xsi:type="dcterms:W3CDTF">2012-03-25T12:39:00Z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עלואן;ח'אלד אבו עודה;פייסל אסעד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נצ'</vt:lpwstr>
  </property>
  <property fmtid="{D5CDD505-2E9C-101B-9397-08002B2CF9AE}" pid="9" name="DATE">
    <vt:lpwstr>20120321</vt:lpwstr>
  </property>
  <property fmtid="{D5CDD505-2E9C-101B-9397-08002B2CF9AE}" pid="10" name="DELEMATA">
    <vt:lpwstr/>
  </property>
  <property fmtid="{D5CDD505-2E9C-101B-9397-08002B2CF9AE}" pid="11" name="JUDGE">
    <vt:lpwstr>נחמה מוניץ</vt:lpwstr>
  </property>
  <property fmtid="{D5CDD505-2E9C-101B-9397-08002B2CF9AE}" pid="12" name="LAWYER">
    <vt:lpwstr>דאוד;מייסא זועבי</vt:lpwstr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33070</vt:lpwstr>
  </property>
  <property fmtid="{D5CDD505-2E9C-101B-9397-08002B2CF9AE}" pid="19" name="NEWPARTB">
    <vt:lpwstr>12</vt:lpwstr>
  </property>
  <property fmtid="{D5CDD505-2E9C-101B-9397-08002B2CF9AE}" pid="20" name="NEWPARTC">
    <vt:lpwstr>11</vt:lpwstr>
  </property>
  <property fmtid="{D5CDD505-2E9C-101B-9397-08002B2CF9AE}" pid="21" name="NEWPROC">
    <vt:lpwstr>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/>
  </property>
  <property fmtid="{D5CDD505-2E9C-101B-9397-08002B2CF9AE}" pid="27" name="PROCYEAR">
    <vt:lpwstr/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TYPE_ABS_DATE">
    <vt:lpwstr>390020120321</vt:lpwstr>
  </property>
  <property fmtid="{D5CDD505-2E9C-101B-9397-08002B2CF9AE}" pid="31" name="TYPE_N_DATE">
    <vt:lpwstr>39020120321</vt:lpwstr>
  </property>
  <property fmtid="{D5CDD505-2E9C-101B-9397-08002B2CF9AE}" pid="32" name="VOLUME">
    <vt:lpwstr/>
  </property>
  <property fmtid="{D5CDD505-2E9C-101B-9397-08002B2CF9AE}" pid="33" name="WORDNUMPAGES">
    <vt:lpwstr>2</vt:lpwstr>
  </property>
</Properties>
</file>