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33125-01-14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אלטורי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יולנדה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טולדנו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חסיב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אלהאדי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ListParagraph"/>
        <w:spacing w:lineRule="exact" w:line="240" w:before="0" w:after="120"/>
        <w:ind w:start="0" w:end="0"/>
        <w:contextualSpacing/>
        <w:jc w:val="both"/>
        <w:rPr/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ListParagraph"/>
        <w:spacing w:lineRule="exact" w:line="240" w:before="0" w:after="120"/>
        <w:ind w:start="0" w:end="0"/>
        <w:contextualSpacing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הסמים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המסוכנים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: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3" w:name="PsakDin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 xml:space="preserve">גזר 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ascii="Arial" w:hAnsi="Arial" w:cs="Arial"/>
          <w:sz w:val="32"/>
          <w:sz w:val="32"/>
          <w:szCs w:val="32"/>
          <w:rtl w:val="true"/>
        </w:rPr>
        <w:t xml:space="preserve"> </w:t>
      </w:r>
      <w:bookmarkEnd w:id="3"/>
      <w:r>
        <w:rPr>
          <w:rFonts w:ascii="Arial" w:hAnsi="Arial" w:cs="Arial"/>
          <w:sz w:val="28"/>
          <w:sz w:val="28"/>
          <w:szCs w:val="28"/>
          <w:rtl w:val="true"/>
        </w:rPr>
        <w:t xml:space="preserve">לגבי נאשם </w:t>
      </w:r>
      <w:r>
        <w:rPr>
          <w:rFonts w:cs="Arial" w:ascii="Arial" w:hAnsi="Arial"/>
          <w:sz w:val="28"/>
          <w:szCs w:val="28"/>
        </w:rPr>
        <w:t>5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28.9.13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6.11.14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3.4.14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ורווק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)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חשיש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/>
          <w:bCs/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":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1271/13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סויסה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7.3.13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פלטת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אצבעות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בהסתבכותו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חילוט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פריטים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שחודשיים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'–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47347-08-11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בירגאוז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30.4.12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טענתו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שהסמים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הוחזקו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העצמית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bookmarkStart w:id="7" w:name="LawTable"/>
      <w:bookmarkEnd w:id="7"/>
    </w:p>
    <w:p>
      <w:pPr>
        <w:pStyle w:val="ListParagraph"/>
        <w:spacing w:lineRule="exact" w:line="240" w:before="0" w:after="120"/>
        <w:ind w:start="0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center"/>
        <w:rPr>
          <w:rFonts w:cs="David"/>
          <w:bCs/>
          <w:sz w:val="24"/>
          <w:szCs w:val="24"/>
        </w:rPr>
      </w:pPr>
      <w:bookmarkStart w:id="8" w:name="LawTable_End"/>
      <w:bookmarkEnd w:id="8"/>
      <w:r>
        <w:rPr>
          <w:rFonts w:cs="David"/>
          <w:bCs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הערעור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כך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שעונשו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הועמד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Cs w:val="24"/>
        </w:rPr>
        <w:t>8</w:t>
      </w:r>
      <w:r>
        <w:rPr>
          <w:rFonts w:cs="David"/>
          <w:bCs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z w:val="24"/>
          <w:sz w:val="24"/>
          <w:szCs w:val="24"/>
          <w:rtl w:val="true"/>
        </w:rPr>
        <w:t>לריצוי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כמעט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ויכולתו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תעסוקתי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13427-04-13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eastAsia="David" w:cs="David" w:ascii="David" w:hAnsi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קדוש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2.9.13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אספקת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60.3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אספקה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1.34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0.98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single"/>
          <w:rtl w:val="true"/>
        </w:rPr>
        <w:t>סה</w:t>
      </w:r>
      <w:r>
        <w:rPr>
          <w:rFonts w:cs="David"/>
          <w:sz w:val="24"/>
          <w:szCs w:val="24"/>
          <w:u w:val="single"/>
          <w:rtl w:val="true"/>
        </w:rPr>
        <w:t>"</w:t>
      </w:r>
      <w:r>
        <w:rPr>
          <w:rFonts w:cs="David"/>
          <w:sz w:val="24"/>
          <w:sz w:val="24"/>
          <w:szCs w:val="24"/>
          <w:u w:val="single"/>
          <w:rtl w:val="true"/>
        </w:rPr>
        <w:t>כ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81.87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מהתמכרות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המשתמשים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שהמאסרים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הופעלו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וחלקם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28822-04-12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eastAsia="David" w:cs="David" w:ascii="David" w:hAnsi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אינידקט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13.6.12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48.5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8.8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0.5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קנבוס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3.65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קנבוס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u w:val="single"/>
          <w:rtl w:val="true"/>
        </w:rPr>
        <w:t>סה</w:t>
      </w:r>
      <w:r>
        <w:rPr>
          <w:rFonts w:cs="David"/>
          <w:sz w:val="24"/>
          <w:szCs w:val="24"/>
          <w:u w:val="single"/>
          <w:rtl w:val="true"/>
        </w:rPr>
        <w:t>"</w:t>
      </w:r>
      <w:r>
        <w:rPr>
          <w:rFonts w:cs="David"/>
          <w:sz w:val="24"/>
          <w:sz w:val="24"/>
          <w:szCs w:val="24"/>
          <w:u w:val="single"/>
          <w:rtl w:val="true"/>
        </w:rPr>
        <w:t>כ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63.05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14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1,500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ופסילת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hyperlink r:id="rId1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41067-03-12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מח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eastAsia="David" w:cs="David" w:ascii="David" w:hAnsi="David"/>
          <w:sz w:val="24"/>
          <w:szCs w:val="24"/>
          <w:rtl w:val="true"/>
        </w:rPr>
        <w:t>–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ים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חושייה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15.7.12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תיווך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בהזדמנויות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משטרתי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102.12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cs="David"/>
          <w:sz w:val="24"/>
          <w:szCs w:val="24"/>
          <w:u w:val="single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100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322/15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] (</w:t>
      </w:r>
      <w:r>
        <w:rPr>
          <w:rFonts w:cs="David"/>
          <w:sz w:val="24"/>
          <w:szCs w:val="24"/>
        </w:rPr>
        <w:t>22.1.15</w:t>
      </w:r>
      <w:r>
        <w:rPr>
          <w:rFonts w:cs="David"/>
          <w:sz w:val="24"/>
          <w:szCs w:val="24"/>
          <w:rtl w:val="true"/>
        </w:rPr>
        <w:t xml:space="preserve">).  </w:t>
      </w:r>
      <w:r>
        <w:rPr>
          <w:rFonts w:cs="David"/>
          <w:sz w:val="24"/>
          <w:sz w:val="24"/>
          <w:szCs w:val="24"/>
          <w:rtl w:val="true"/>
        </w:rPr>
        <w:t>המבקש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214.62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192.67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417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18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21.1.15</w:t>
      </w:r>
      <w:r>
        <w:rPr>
          <w:rtl w:val="true"/>
        </w:rPr>
        <w:t xml:space="preserve">).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48198-02-13</w:t>
        </w:r>
      </w:hyperlink>
      <w:r>
        <w:rPr>
          <w:rtl w:val="true"/>
        </w:rPr>
        <w:t xml:space="preserve">)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92.88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53148-07-14</w:t>
        </w:r>
      </w:hyperlink>
      <w:r>
        <w:rPr>
          <w:rtl w:val="true"/>
        </w:rPr>
        <w:t xml:space="preserve">) </w:t>
      </w:r>
      <w:r>
        <w:rPr>
          <w:rtl w:val="true"/>
        </w:rPr>
        <w:t>ובסעיף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ביותר</w:t>
      </w:r>
      <w:r>
        <w:rPr>
          <w:rtl w:val="true"/>
        </w:rPr>
        <w:t xml:space="preserve">".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),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15.1.15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29.1.14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1.6.15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33125-01-14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חסיב עבד אלהאדי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case/6361099" TargetMode="External"/><Relationship Id="rId9" Type="http://schemas.openxmlformats.org/officeDocument/2006/relationships/hyperlink" Target="http://www.nevo.co.il/case/3546494" TargetMode="External"/><Relationship Id="rId10" Type="http://schemas.openxmlformats.org/officeDocument/2006/relationships/hyperlink" Target="http://www.nevo.co.il/case/6875181" TargetMode="External"/><Relationship Id="rId11" Type="http://schemas.openxmlformats.org/officeDocument/2006/relationships/hyperlink" Target="http://www.nevo.co.il/case/4393886" TargetMode="External"/><Relationship Id="rId12" Type="http://schemas.openxmlformats.org/officeDocument/2006/relationships/hyperlink" Target="http://www.nevo.co.il/case/5487889" TargetMode="External"/><Relationship Id="rId13" Type="http://schemas.openxmlformats.org/officeDocument/2006/relationships/hyperlink" Target="http://www.nevo.co.il/case/19999565" TargetMode="External"/><Relationship Id="rId14" Type="http://schemas.openxmlformats.org/officeDocument/2006/relationships/hyperlink" Target="http://www.nevo.co.il/case/19994719" TargetMode="External"/><Relationship Id="rId15" Type="http://schemas.openxmlformats.org/officeDocument/2006/relationships/hyperlink" Target="http://www.nevo.co.il/case/6603275" TargetMode="External"/><Relationship Id="rId16" Type="http://schemas.openxmlformats.org/officeDocument/2006/relationships/hyperlink" Target="http://www.nevo.co.il/case/17093198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2020-12-17T12:59:00Z</dcterms:created>
  <dc:creator> </dc:creator>
  <dc:description/>
  <cp:keywords/>
  <dc:language>en-IL</dc:language>
  <cp:lastModifiedBy>hofit</cp:lastModifiedBy>
  <dcterms:modified xsi:type="dcterms:W3CDTF">2020-12-17T12:59:00Z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חסיב עבד אלהאדי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6361099;3546494;6875181;4393886;5487889;19999565;19994719;6603275;17093198</vt:lpwstr>
  </property>
  <property fmtid="{D5CDD505-2E9C-101B-9397-08002B2CF9AE}" pid="9" name="CITY">
    <vt:lpwstr>רמ'</vt:lpwstr>
  </property>
  <property fmtid="{D5CDD505-2E9C-101B-9397-08002B2CF9AE}" pid="10" name="DATE">
    <vt:lpwstr>20150427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4216/007.a;007.c</vt:lpwstr>
  </property>
  <property fmtid="{D5CDD505-2E9C-101B-9397-08002B2CF9AE}" pid="15" name="LAWYER">
    <vt:lpwstr>יולנדה טולדנו;שוקרי אבו טביק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33125</vt:lpwstr>
  </property>
  <property fmtid="{D5CDD505-2E9C-101B-9397-08002B2CF9AE}" pid="22" name="NEWPARTB">
    <vt:lpwstr>01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380020150427</vt:lpwstr>
  </property>
  <property fmtid="{D5CDD505-2E9C-101B-9397-08002B2CF9AE}" pid="34" name="TYPE_N_DATE">
    <vt:lpwstr>38020150427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