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33131-05-20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Appellant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ואיל מחאמיד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גריפאת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פאדי גריפאת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6"/>
                <w:szCs w:val="6"/>
              </w:rPr>
            </w:pPr>
            <w:r>
              <w:rPr>
                <w:rFonts w:cs="David" w:ascii="David" w:hAnsi="David"/>
                <w:sz w:val="6"/>
                <w:szCs w:val="6"/>
                <w:rtl w:val="true"/>
              </w:rPr>
              <w:t>&lt;</w:t>
            </w:r>
            <w:r>
              <w:rPr>
                <w:rFonts w:cs="David" w:ascii="David" w:hAnsi="David"/>
                <w:sz w:val="6"/>
                <w:szCs w:val="6"/>
              </w:rPr>
              <w:t>#1#</w:t>
            </w:r>
            <w:r>
              <w:rPr>
                <w:rFonts w:cs="David" w:ascii="David" w:hAnsi="David"/>
                <w:sz w:val="6"/>
                <w:szCs w:val="6"/>
                <w:rtl w:val="true"/>
              </w:rPr>
              <w:t>&gt;</w:t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b w:val="false"/>
                <w:bCs w:val="false"/>
                <w:sz w:val="6"/>
                <w:szCs w:val="6"/>
                <w:u w:val="none"/>
              </w:rPr>
            </w:pPr>
            <w:r>
              <w:rPr>
                <w:rFonts w:cs="David" w:ascii="David" w:hAnsi="David"/>
                <w:b w:val="false"/>
                <w:bCs w:val="false"/>
                <w:sz w:val="6"/>
                <w:szCs w:val="6"/>
                <w:u w:val="none"/>
                <w:rtl w:val="true"/>
              </w:rPr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u w:val="none"/>
              </w:rPr>
            </w:pPr>
            <w:r>
              <w:rPr>
                <w:rFonts w:ascii="David" w:hAnsi="David"/>
                <w:u w:val="none"/>
                <w:rtl w:val="true"/>
              </w:rPr>
              <w:t>נוכחים</w:t>
            </w:r>
            <w:r>
              <w:rPr>
                <w:rFonts w:cs="David" w:ascii="David" w:hAnsi="David"/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start"/>
              <w:rPr/>
            </w:pP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כ המאשימה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: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ד גב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 xml:space="preserve">' 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 xml:space="preserve">רינת לוי </w:t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b w:val="false"/>
                <w:bCs w:val="false"/>
                <w:u w:val="none"/>
              </w:rPr>
            </w:pP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 xml:space="preserve">כ הנאשם </w:t>
            </w:r>
            <w:r>
              <w:rPr>
                <w:rFonts w:cs="David" w:ascii="David" w:hAnsi="David"/>
                <w:b w:val="false"/>
                <w:bCs w:val="false"/>
                <w:u w:val="none"/>
              </w:rPr>
              <w:t>1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 xml:space="preserve">:  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ד מוחמד מחאג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'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 xml:space="preserve">נה  </w:t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b w:val="false"/>
                <w:bCs w:val="false"/>
                <w:u w:val="none"/>
              </w:rPr>
            </w:pP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 xml:space="preserve">כ הנאשם </w:t>
            </w:r>
            <w:r>
              <w:rPr>
                <w:rFonts w:cs="David" w:ascii="David" w:hAnsi="David"/>
                <w:b w:val="false"/>
                <w:bCs w:val="false"/>
                <w:u w:val="none"/>
              </w:rPr>
              <w:t>2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 xml:space="preserve">ד גיל דביר </w:t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b w:val="false"/>
                <w:bCs w:val="false"/>
                <w:u w:val="none"/>
              </w:rPr>
            </w:pPr>
            <w:r>
              <w:rPr>
                <w:rFonts w:cs="David" w:ascii="David" w:hAnsi="David"/>
                <w:b w:val="false"/>
                <w:bCs w:val="false"/>
                <w:u w:val="non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בעניינם של נאשמים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 בכתב אישום מתוקן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והורשעו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b/>
          <w:b/>
          <w:bCs/>
          <w:rtl w:val="true"/>
        </w:rPr>
        <w:t>בביצוע עסקה אחרת בנשק</w:t>
      </w:r>
      <w:r>
        <w:rPr>
          <w:rFonts w:ascii="David" w:hAnsi="David"/>
          <w:rtl w:val="true"/>
        </w:rPr>
        <w:t xml:space="preserve">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21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ובהחזקת נשק</w:t>
      </w:r>
      <w:r>
        <w:rPr>
          <w:rFonts w:ascii="David" w:hAnsi="David"/>
          <w:rtl w:val="true"/>
        </w:rPr>
        <w:t xml:space="preserve">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b/>
          <w:b/>
          <w:bCs/>
          <w:rtl w:val="true"/>
        </w:rPr>
        <w:t>בביצוע עסקה אחרת בנשק</w:t>
      </w:r>
      <w:r>
        <w:rPr>
          <w:rFonts w:ascii="David" w:hAnsi="David"/>
          <w:rtl w:val="true"/>
        </w:rPr>
        <w:t xml:space="preserve">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25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בהחזקה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והובלת נשק</w:t>
      </w:r>
      <w:r>
        <w:rPr>
          <w:rFonts w:ascii="David" w:hAnsi="David"/>
          <w:rtl w:val="true"/>
        </w:rPr>
        <w:t xml:space="preserve">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</w:t>
      </w:r>
      <w:r>
        <w:rPr>
          <w:rFonts w:cs="David" w:ascii="David" w:hAnsi="David"/>
          <w:rtl w:val="true"/>
        </w:rPr>
        <w:t xml:space="preserve">, </w:t>
      </w:r>
      <w:hyperlink r:id="rId2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רישה </w:t>
      </w:r>
      <w:hyperlink r:id="rId29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צירף לתיק העיקרי תיק מבית משפט השלום 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שמספרו </w:t>
      </w:r>
      <w:r>
        <w:rPr>
          <w:rFonts w:cs="David" w:ascii="David" w:hAnsi="David"/>
        </w:rPr>
        <w:t>7029-06-18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והודה לפניי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שעניינו החזקת סמים מסוכנים שלא לצריכה עצמית ועבירות תעבורה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צירף לתיק העיקרי תיק מבית משפט השלום בנתניה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שמספרו </w:t>
      </w:r>
      <w:r>
        <w:rPr>
          <w:rFonts w:cs="David" w:ascii="David" w:hAnsi="David"/>
        </w:rPr>
        <w:t>57757-03-19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והודה לפניי בעובדות כתב האישום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שעניינו ניסיון להחדרת סם מסוכן מסוג חשיש לכלא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ביצע בהיותו אסיר בחופשה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מכתב האישום המתוקן 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אפריל סיכמו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 עסקה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במסגרתה יקבל לידיו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 מטעני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יעבירם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1,700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יעביר את המטענים לאדם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24.4.2020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הסיע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שעניינו הופרד ועונשו נגזר קודם לכן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את שלושת המטענים בקופסת קרטון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ברכב כשהם נושאים בצוותא את המטענים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האט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הרכב בהגיעם למחסום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ומשהבחינו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השליך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הקופסה עם המטענים מחלון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המטענים נתפסו על ידי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בנסיבות אלו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תכננו ולקחו חלק בעסקת נשק שכללה העברת מספר מטעני חבלה המכילים תערובת נפץ מאולתרת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שבכוחם להמית אדם בהתפוצצותם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לידי צד שלישי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רק בהתערבות המשטרה נמנעה העברתם לאותו גורם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להשלמת התמונה יובהר כי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בכתב אישום מתוקן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קודם להודאת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בגזר דין מיום 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בית משפט זה על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שבעה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ערערה על גזר הדין ובית המשפט העליון קיבל את הערעור והעמיד את עונש המאסר בפועל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טענו לעונש והציגו את עמדתם לענישה ההולמת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למתחם ענישה בתיק העיקרי </w:t>
      </w:r>
      <w:r>
        <w:rPr>
          <w:rFonts w:ascii="David" w:hAnsi="David"/>
          <w:b/>
          <w:b/>
          <w:bCs/>
          <w:rtl w:val="true"/>
        </w:rPr>
        <w:t xml:space="preserve">שנע 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לעונש של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לגזור את עונשם במחצית העליונה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ביקשה המאשימה להפעיל במצטבר </w:t>
      </w:r>
      <w:r>
        <w:rPr>
          <w:rFonts w:ascii="David" w:hAnsi="David"/>
          <w:b/>
          <w:b/>
          <w:bCs/>
          <w:rtl w:val="true"/>
        </w:rPr>
        <w:t>עונש מאסר מותנה</w:t>
      </w:r>
      <w:r>
        <w:rPr>
          <w:rFonts w:ascii="David" w:hAnsi="David"/>
          <w:rtl w:val="true"/>
        </w:rPr>
        <w:t xml:space="preserve"> שתלוי ועומד כנגד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 בר הפעלה בתיק העיקרי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מחאג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למתחם הנע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וביקש להטיל עונש קרוב לעונש שהוטל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היינו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לנסיבות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להתחשב בעדות מומחה החבלה בבית המשפט ממנה 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לגרסתו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שמדובר במטענים שטיבם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ירוד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ולא נשקפת מהם סכנה 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הסנגור טען לאכיפה בררנית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הימנעות התביעה מלהגיש כתב אישום כנגד חשוד נוסף באירוע – אותו צד 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שהמשטרה סברה כי היה אמור לקבל לידיו את המטענים מידי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דביר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לעשות שימוש במתחם הענישה שנקבע לגבי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 בבית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ממשי 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ממשי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כי בית המשפט יתחשב באכיפה בררנית שארעה כאן כשיקול להקלה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ויגזור עונש הקרוב לעונש שנגזר על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ביקש כי עונש המאסר על תנאי שנגזר בתיק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יופעל בחופף ולא 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הסנגור כי לא יוטל על הנאשם רכיב עונשי של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שיפול על כתפי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בדברו האחרון לפניי 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כי יוטל עליו עונש מאסר על תנאי ארוך חלף מאסר ממשי ארוך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סיפר כי ניסה לשים קץ לחייו לפני מספר ימים נוכח הפגיעה במשפחתו שנוצרה בעקבות ההליך המשפחתי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 וביקש להתחשב בכך שימים ספורים לפני מעצרו הוא התחתן ולדבריו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 מה להפסיד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 והכרעה בתיק העיקרי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כבר נאמר רבות בנוגע לעבירות של סחר במטעני חבלה כי </w:t>
      </w:r>
      <w:r>
        <w:rPr>
          <w:rFonts w:cs="David" w:ascii="David" w:hAnsi="David"/>
          <w:rtl w:val="true"/>
        </w:rPr>
        <w:t xml:space="preserve">"[...] </w:t>
      </w:r>
      <w:r>
        <w:rPr>
          <w:rFonts w:ascii="David" w:hAnsi="David"/>
          <w:b/>
          <w:b/>
          <w:bCs/>
          <w:rtl w:val="true"/>
        </w:rPr>
        <w:t>כחלק ממלחמת החורמה שמנהלים גורמי אכיפת החוק בכל חוליה וחוליה בשרשרת רכישת המטען – הכנתו – הטמנתו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בית המשפט לתרום תרומתו בענישה מכאיבה בעבירות כגון דא</w:t>
      </w:r>
      <w:r>
        <w:rPr>
          <w:rFonts w:cs="David" w:ascii="David" w:hAnsi="David"/>
          <w:rtl w:val="true"/>
        </w:rPr>
        <w:t>" 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5779/14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אלגזי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5.2.2015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גם כשעסקינן בעבירות של סחר במטעני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משרעת ענישה הנובעת בין היתר מפוטנציאל הנזק הגלום בכל 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סוגו ותכולתו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בכמות המטענים הנסחרת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ובחלקו של העבריין בשרשרת הסחר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העומדים ביסוד העבירות מושא כתב האישום הם שלום הציבור ובטחונו והסכנה לפגיעה בחיי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ביצוע העבירות כאן מידת הפגיעה בערכים אלה היא בינונית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בכמות של כמה מטענים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הנשקף מכם אינו ברף הגבוה של מטעני חבלה תקניים ואף לא בהשוואה למטענים מאולתרים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לצד זאת יש לומר כי בהיותם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ייצור ביתי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יכולת החיזוי של פעולתם והיקף נזקם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מוגבלת ומשתנה ממקרה למקרה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חלקם של הנאשמים בשרשרת 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שהסתכמה בהיותם חוליה מקשרת ומתווכת בין מייצר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לא הובררה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לרוכש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משליכה אף היא על מידת הפגיעה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חלקם ניתן גם ללמוד מגובה התמורה שהועברה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ראשית אציין את פסק הדין של בית המשפט העליון בערעור המדינה 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נמנע מלשנות את מתחם הענישה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ציין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לטעמנו מתחם ענישה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בשים לב לכל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ובפרט לכך שמדובר בהחזקה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והובלה של מטען חבלה אינו הולם את חומרת העבירה</w:t>
      </w:r>
      <w:r>
        <w:rPr>
          <w:rFonts w:cs="David" w:ascii="David" w:hAnsi="David"/>
          <w:rtl w:val="true"/>
        </w:rPr>
        <w:t>" 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ברי כי נוכח חלקם של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שהיה גדול מחלקו של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התוויית המדיניות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מקום לקבוע כאן מתחם גבוה מהמתחם שנקבע 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8959/14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סימון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24.5.2015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בביצוע עבירה של עסקה אחרת בנשק והחזקת סמים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עסקת הנשק נגעה לשני מטעני חבלה שהוחזקו ברכבו של המערער ובהמשך הועברו לאחרים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ענישה הנע בין</w:t>
      </w:r>
      <w:r>
        <w:rPr>
          <w:rFonts w:ascii="David" w:hAnsi="David"/>
          <w:b/>
          <w:b/>
          <w:bCs/>
          <w:rtl w:val="true"/>
        </w:rPr>
        <w:t xml:space="preserve"> שנתיים מאסר וחצי ועד לשש שנות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וגזר על המערער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חומרת העונש נדחה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ראיתי בעבירות שבוצעו בתיק העיקרי משום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ביצוען כחלק מאותו רצף עובדתי ביחס לאותם מטענים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 מתחם שונה לכל נאשם על פי חלקו היחסי באירוע ונוכח ההבדל בהיקף העבירות 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קשר בין האירועים בתיק העיקרי לאלו שצורפו בתיקים הנוספים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ולגביהם אקבע מתחמי ענישה נפרדים ההולמים את אותם אירועים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מתחמי הענישה בתיק העיקרי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נתתי דעתי לתכנון שקדם לביצוע העבירות מצד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להיקף התמורה שניתנה בעד העברת המטענים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שאינו גדול – </w:t>
      </w:r>
      <w:r>
        <w:rPr>
          <w:rFonts w:cs="David" w:ascii="David" w:hAnsi="David"/>
        </w:rPr>
        <w:t>1,700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ולהיות הנאשמים חוליה מקשרת בשרשרת 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היעד הסופי או ההתחלתי שלה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לשון אחר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הנאשמים היו חוליה מקשרת נוספת בין מייצר המטענים שנותר עלום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הצד השלישי שהיה היעד לקבלתם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לקחתי בחשבון את פוטנציאל המסוכנות של המטענים שהועברו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תיאורם בכתב האישום ועדות המומחה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בפוטנציאל מתוחם ומצומצם עם מנגנון הפעלה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פרימיטיבי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את המטענים בביתו לפרק זמן שאינו ידוע ויש להניח לטובתו שלא היה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ומסר אותם לידי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 ממנו את התמורה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הורשע בעבירה של עסקה אחרת בנשק והחזקת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הוביל ונשא את המטענים ברכבו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כשהתקרבו אל המחסום המשטרתי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השליך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המטענים מחלון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לצד העבירות בהן הורשע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בעבירה של נשיאה והובלת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הקשורות בביצוע העבירה לרבות חלקו היחסי של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מוצא לקבוע את מתחם הענישה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כנע בין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ברף התחתון 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בתקרתו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את מתחם הענישה ההולם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אני קובע כנע בין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ברף התחתון ומסתיים 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בתקרתו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רכיב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הוצג לפניי אפיק שיקומי למי מהנאשמים ולא מצאתי עילה המצדיקה לסטות לקולה או לחומרה ממתחמי הענישה שקבעתי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טענה נוספת אותה כאמור העלו הסנגורים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קיומה של אכיפה בררנית נוכח הימנעות מהגשת כתב אישום כנגד אותו צד שלישי שאליו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לסברת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מיועדים המטענים להגיע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מעדות השוטר שהיה אמון על החקירה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שנמסרה בדיון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שהסיבה להפסקת החקירה כנגד אותו חשוד נבעה משיקולים של תיעדוף חקירתי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משום שהחשוד היה מעורב גם בחקירה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שקיבלה תיעדוף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שהיו ראיות שקשרו אותו לתיק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הצהירה כי התיק נגד אותו חשוד נסגר מחמת חוסר 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בדיון לפניי היא פירטה את חומר הראיות שנאסף כנגדו והסבירה כיצד הגיעה למסקנה שעל בסיס החומר הקיים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בוססה תשתית ראייתית מספקת להגשת כתב 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לאחר ששקלתי את הדברים ראיתי לדחות את הטענה לאכיפה בררנית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בפסיקה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בעצם החלטת רשויות התביעה להעמיד לדין חלק מהמעורבים בביצוע העבירה כדי לבסס טענה לקיומה של אכיפה בררנית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פי רוב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טענה מעין זו תתקבל כאשר ניתן להצביע על שיקולים זרים או שרירותיות בהחלטת התביעה להגיש כתבי אישום נגד חלק מהמעורבים בעבירה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במקרים חריגים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תתקבל הטענה אף אם לא הוכחה כוונת זדון מצד רשויות התביעה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התשתית הראייתית אשר בבסיס החשדות כלפי כל אחד מהמעורבים דומה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" 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5805/19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קליינמן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28.12.2020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בענייננו לא הונחה לפניי תשתית לכך שההחלטה שלא להגיש כתב אישום כנגד החשוד הנוסף נבעה משיקולים זרים או משרירותיות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הטעם שהוצג במהלך עדויות השוטרים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תיעדוף חקירתי נוכח מעורבות החשוד בתיקים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שיקול מקצועי לגיטימי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יתכן שאותו תיעדוף מנע את העמקת החקירה כנגד אותו חשוד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העמקה שיתכן והייתה מולידה ראיות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הייתה מתבצעת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מיצוי החקירה לא נעשה מטעמים זרים או שרירותיים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אין בסגירת התיק בעניינו של החשוד הנוסף מחמת חוסר בראיות מספיקות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לבסס טענה בדבר אכיפה בררנית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עם זאת הדבר יילקח בחשבון כנסיבה במסגרת שיקולים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צדק רוחבי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ראו והשוו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7216/20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קליין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18.2.2021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>בהתייחס לכלל המעורבים בתיק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גזירת העונש בתוך מתחם הענישה ההולם –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נתתי דעתי להודאתו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בהזדמנות הראשונה לאחר תיקון כתב האישום ולחרטה שהביע לפניי בדיון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למצבו המשפחתי כאב לארבעה 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שהצעיר ביניהם נולד אך כחודש לפני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נתתי דעתי לטענת הסנגור בדבר דלות חינוכית ורגשית שחווה הנאשם בילדותו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לקחתי בחשבון את מצבו הבריאותי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המשתקם מפציעה ברגלו כתוצאה מפציעת ירי כלפיו שאירעה לפני 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והיום הוא נעזר בקביים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לקחתי בחשבון גם את אי מיצוי החקירה כנגד חשוד נוסף בפרשה – הצד השלישי – שהביא לאי העמדתו לדין מחמת חוסר בראיות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כשיקול של צדק רוחבי כאמור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עבר פלילי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תעבורה ובעבירות נוספות נושנות – בגינן ריצה מאסר ממשי בפועל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הצורך בהרתעת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אינו מפגשו הראשון עם גורמי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הצורך בהרתעת הרבים מהשתתפות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בשרשרת העברת כלי נשק ומטענים מאולתרים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בשקלול כלל הנסיבות לקולה 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לגזור את עונשו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בתוככי המתחם בחלקו 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ולגזור עליו עונש של </w:t>
      </w:r>
      <w:r>
        <w:rPr>
          <w:rFonts w:ascii="David" w:hAnsi="David"/>
          <w:b/>
          <w:b/>
          <w:bCs/>
          <w:rtl w:val="true"/>
        </w:rPr>
        <w:t>עשרים ושמונה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שמניינם מיום מעצרו 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בתאריך </w:t>
      </w:r>
      <w:r>
        <w:rPr>
          <w:rFonts w:cs="David" w:ascii="David" w:hAnsi="David"/>
          <w:b/>
          <w:bCs/>
        </w:rPr>
        <w:t>21.4.2020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נוסף לכך אני גוזר עליו עשרה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אותם לא ירצה אלא אם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ממאסרו ישוב ויעבור על עבירה בנשק מסוג פשע לפי </w:t>
      </w:r>
      <w:hyperlink r:id="rId3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כמו כן אני מטיל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 בגין כל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שבתיק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שישולם עד ליום </w:t>
      </w:r>
      <w:r>
        <w:rPr>
          <w:rFonts w:cs="David" w:ascii="David" w:hAnsi="David"/>
        </w:rPr>
        <w:t>1.10.21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חודש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מאסר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גזירת העונש בתוך מתחם הענישה –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נתתי דעתי להודאתו בכתב האישום עם תיקונו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שקלתי את טענת הסנגור ביחס למסלול חייו המורכב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ולפגיעה באשתו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 נישא ימים ספורים לפני מעצרו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לחובתו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ריצה תקופות מאסר משמעותיות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הרשעה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הוטל עליו עונש מאסר מותנה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שהוא בר הפעלה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הורתע מרכיב המאסר המותנה או מהענישה שריצה בגין ביצוע עבירת הנשק הקודמת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ונסיבה זו מחזקת את הצורך בנקיטת ענישה מרתיעה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האינטרס הציבורי בהרתעת הרבים בעבירות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כלל הנסיבות מצאתי לגזור את עונשו של הנאשם בתוככי המתחם בחלק האמצעי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ולגזור עליו </w:t>
      </w:r>
      <w:r>
        <w:rPr>
          <w:rFonts w:ascii="David" w:hAnsi="David"/>
          <w:b/>
          <w:b/>
          <w:bCs/>
          <w:rtl w:val="true"/>
        </w:rPr>
        <w:t>שלושים וארבעה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</w:rPr>
        <w:t>34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לריצוי ממשי בפועל שמניינם מיום מעצרו 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21.4.2020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אני מורה על </w:t>
      </w:r>
      <w:r>
        <w:rPr>
          <w:rFonts w:ascii="David" w:hAnsi="David"/>
          <w:b/>
          <w:b/>
          <w:bCs/>
          <w:rtl w:val="true"/>
        </w:rPr>
        <w:t xml:space="preserve">הפעלת המאסר המותנה בן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שנגזר עליו בתיק </w:t>
      </w:r>
      <w:r>
        <w:rPr>
          <w:rFonts w:cs="David" w:ascii="David" w:hAnsi="David"/>
        </w:rPr>
        <w:t>55350-02-18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 משפט המחוזי 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20.6.2018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הצורך בהרתעה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והסיווג הדומה של העבירה הקודמת והנוכחית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טעמים אחרים המצדיקים לנהוג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עונש המאסר שהופעל ירוצה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לעונש המאסר בתיק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וראו גם </w:t>
      </w:r>
      <w:hyperlink r:id="rId3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58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24.2.2021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כמו כן אני גוזר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עשר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אותם לא ירצה אלא אם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ממאסרו ישוב ויעבור על עבירה בנשק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כמו כן אני מטיל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 בגין כל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שבתיק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שישולם עד ליום </w:t>
      </w:r>
      <w:r>
        <w:rPr>
          <w:rFonts w:cs="David" w:ascii="David" w:hAnsi="David"/>
        </w:rPr>
        <w:t>1.10.21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חודש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מאסר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התיקים המצורפים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תיק הסמים והתעבורה בעניינו של 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מכתב האישום המתוקן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נהג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בקטנוע בפזיזות ובאופן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שהוציא מעולם רישיון 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בקטנוע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של סם מסוג חשיש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מחולק למנות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הודאתו במעשים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החזקה בסמים שלא לצריכה עצמית</w:t>
      </w:r>
      <w:r>
        <w:rPr>
          <w:rFonts w:ascii="David" w:hAnsi="David"/>
          <w:rtl w:val="true"/>
        </w:rPr>
        <w:t xml:space="preserve"> לפי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44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נהיגה ברכב ללא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ביטוח רכב מנועי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נהיגה בקלות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התעבורה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בנסיבות אלו סיכן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משתמשי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והחזיק בסמים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היתר 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עתרה בתיק זה למתחם </w:t>
      </w:r>
      <w:r>
        <w:rPr>
          <w:rFonts w:ascii="David" w:hAnsi="David"/>
          <w:b/>
          <w:b/>
          <w:bCs/>
          <w:rtl w:val="true"/>
        </w:rPr>
        <w:t xml:space="preserve">שנע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שיכול וירוצ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 xml:space="preserve"> בעבודות 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להשתת 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לקבוע את העונש במחצית העליונה של המתחם וכן להפעיל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שני מאסרים מותנים ועונש פסילה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התלויים ועומדים כנגד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בתיקים קודמים והם ברי הפעלה כאן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סנגורו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לחפוף את עונשי המאסר המותנה שיופעלו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 בערכים של שמירה 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ובריאותו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הפגיעה בערכים אלה היא ברף הבינוני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סוג הסם שנתפס והכמות הינם ברף חומרה 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נסיעה בקטנוע באופן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וללא רישיון או פוליסת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בה פוטנציאל של פגיעה במשתמשים האחרים בדרך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שבמקרה הזה לא נגרם נזק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322/15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אנח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22.1.2015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דובר על אישום של החזקת סם מסוג חשיש במשקל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ענישה הנע בין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ממשי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המחוזי נדחה וכך גם בקשת רשות ערעור שהוגשה לעליון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10116/16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24.1.2017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דובר על נאשם שהורשע בבית המשפט לתעבורה בעבירות של נהיגה בקלות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ציות להוראות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תחת השפעת משקאות משכרים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 נהיגה בתוקף ונהיגה ללא פוליסת ביטוח בת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שם על מקרה חמור מהמקרה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חצה רמזורים באור אדום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עקף מחסום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בניגוד לכיוון התנועה ולא ציית לשוטרים שהורו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וכאמור נהג תחת השפעה משכרת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ובית המשפט העליון דחו את הערעור ובקשת רשות הערעור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ראיתי לקבוע מתחם אחד לעבירות בהן הורשע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המצורף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סמיכות הזמנים והחזקת הסמים בכלי הרכב שבו בוצעו עבירות התעבורה – הקטנוע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כלל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הנוהגת ומידת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את מתחם הענישה בתיק המצורף כנע בין </w:t>
      </w:r>
      <w:r>
        <w:rPr>
          <w:rFonts w:ascii="David" w:hAnsi="David"/>
          <w:b/>
          <w:b/>
          <w:bCs/>
          <w:rtl w:val="true"/>
        </w:rPr>
        <w:t>מספר חודשי מאסר שיכול וירוצו בעבודות שירות ברף התחתון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ממשי בפועל ברף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נמצאה עילה לסטייה ממתחם הענישה שקבעתי לקולה או לחומרה בהיעדר הצגת אפיק שיקומי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שקילת נסיבותיו האישיות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הודאת הנאשם בהזדמנות הראשונה ובקשתו לצרף את התיק לכאן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לחסוך במשאב המשפטי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לקחתי בחשבון את חלוף הזמן מאז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קרוב לשלוש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פלילי מכביד בעבירות סמים ותעבורה ויש כנגדו עונשי מאסר מותנה ופסילה מותנית שהם ברי הפעלה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מנעו אותו מלשנות על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החשיבות המיוחדת שיש להרתעת הרבים והיחיד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נוכח עברו הפלילי המכביד של הנאשם בעבירות מסוג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בשקלול כלל הנסיבות מצאתי לגזור את עונשו של הנאשם בחלקו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ואני גוזר עליו עונש של </w:t>
      </w:r>
      <w:r>
        <w:rPr>
          <w:rFonts w:ascii="David" w:hAnsi="David"/>
          <w:b/>
          <w:b/>
          <w:bCs/>
          <w:rtl w:val="true"/>
        </w:rPr>
        <w:t xml:space="preserve">שישה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לריצוי ממשי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ירוצו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לעונש המאסר בפועל שנגזר עליו בתיק העיקרי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 עבירות הנשק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מתקופה זו ינוכו ימי מעצרו הממשי  על פי הסכמת הצדדים מיןם </w:t>
      </w:r>
      <w:r>
        <w:rPr>
          <w:rFonts w:cs="David" w:ascii="David" w:hAnsi="David"/>
        </w:rPr>
        <w:t>28.5.18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30.7.18</w:t>
      </w:r>
      <w:r>
        <w:rPr>
          <w:rFonts w:cs="David" w:ascii="David" w:hAnsi="David"/>
          <w:rtl w:val="true"/>
        </w:rPr>
        <w:t xml:space="preserve"> 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לצד זאת אני מטיל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ascii="David" w:hAnsi="David"/>
          <w:b/>
          <w:b/>
          <w:bCs/>
          <w:rtl w:val="true"/>
        </w:rPr>
        <w:t xml:space="preserve">שישה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פסילה מקבל או החזק רישיון נהיגה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שמניינם מיום שחרורו ממאסרו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משך הפסילה כאן נקבע בשים לב למשך המאסר הכולל שירצה הנאשם ולעונשי פסילת המינימום הקבועים </w:t>
      </w:r>
      <w:hyperlink r:id="rId5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54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37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על מי שביצע עבירה מהעבירות המפורטות בתוספת הראשונה והשנייה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לצד זאת אני גוזר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עשרה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אותם לא ירצה אלא אם ישוב ויעבור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של החזקה או שימוש בסמים שלא לצריכה עצמית לפי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עוד אני גוזר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שנים עשר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אותם לא ירצה אלא אם ישוב ויעבור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של 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עבירה של נהיגה בקלות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התעבורה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וכן שישה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פסילה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יעבור עבירה של 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עבירה של נהיגה בקלות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עבירה של נהיגה ברכב ללא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ביטוח רכב מנועי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רכיב הקנס בגין ביצוע העבירות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 בחשבון במסגרת הטלת הקנס הכולל כפי שפורט כאמור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כמו כן אני מורה על </w:t>
      </w:r>
      <w:r>
        <w:rPr>
          <w:rFonts w:ascii="David" w:hAnsi="David"/>
          <w:b/>
          <w:b/>
          <w:bCs/>
          <w:rtl w:val="true"/>
        </w:rPr>
        <w:t xml:space="preserve">הפעלת מאסר מותנה בין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שנגזר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36989-05-14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18.7.2017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עבירות סמים מסוג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הודאתו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נוכח המאסר הממושך שיחול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מהמאסר שהופעל ירוצו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והחודשיים הנותרים </w:t>
      </w:r>
      <w:r>
        <w:rPr>
          <w:rFonts w:ascii="David" w:hAnsi="David"/>
          <w:u w:val="single"/>
          <w:rtl w:val="true"/>
        </w:rPr>
        <w:t>במצטבר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מורה על </w:t>
      </w:r>
      <w:r>
        <w:rPr>
          <w:rFonts w:ascii="David" w:hAnsi="David"/>
          <w:b/>
          <w:b/>
          <w:bCs/>
          <w:rtl w:val="true"/>
        </w:rPr>
        <w:t xml:space="preserve">הפעלת מאסר מותנה בן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שנגזר על הנאשם ב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תת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u w:val="single"/>
          </w:rPr>
          <w:t>12140-03-17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25.4.2017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היה שלא יעבור עבירה לפי </w:t>
      </w:r>
      <w:hyperlink r:id="rId6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כאן ומשיקולים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מחצית מעונש המאסר 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– יופעל במצטבר ומחצית בחופף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כעולה מהאמור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ירצה בסך הכל שלושים ותשעה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cs="David" w:ascii="David" w:hAnsi="David"/>
          <w:b/>
          <w:bCs/>
          <w:u w:val="single"/>
        </w:rPr>
        <w:t>39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>חודשי מאסר לריצוי בפועל שמניינם מיום מעצרו בתיק העיקרי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בתאריך </w:t>
      </w:r>
      <w:r>
        <w:rPr>
          <w:rFonts w:cs="David" w:ascii="David" w:hAnsi="David"/>
          <w:b/>
          <w:bCs/>
          <w:u w:val="single"/>
        </w:rPr>
        <w:t>21.4.2020</w:t>
      </w:r>
      <w:r>
        <w:rPr>
          <w:rFonts w:cs="David" w:ascii="David" w:hAnsi="David"/>
          <w:b/>
          <w:bCs/>
          <w:u w:val="single"/>
          <w:rtl w:val="true"/>
        </w:rPr>
        <w:t>.</w:t>
      </w:r>
      <w:r>
        <w:rPr>
          <w:rFonts w:ascii="David" w:hAnsi="David"/>
          <w:b/>
          <w:b/>
          <w:bCs/>
          <w:u w:val="single"/>
          <w:rtl w:val="true"/>
        </w:rPr>
        <w:t xml:space="preserve">מתקופה זו יש לנכות את ימי המעצר  כאמור בסעיף </w:t>
      </w:r>
      <w:r>
        <w:rPr>
          <w:rFonts w:cs="David" w:ascii="David" w:hAnsi="David"/>
          <w:b/>
          <w:bCs/>
          <w:u w:val="single"/>
        </w:rPr>
        <w:t>20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לעיל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כמו כן אני מורה על </w:t>
      </w:r>
      <w:r>
        <w:rPr>
          <w:rFonts w:ascii="David" w:hAnsi="David"/>
          <w:b/>
          <w:b/>
          <w:bCs/>
          <w:rtl w:val="true"/>
        </w:rPr>
        <w:t xml:space="preserve">הפעלת פסילה על תנאי בת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שנגזרה על הנאשם ב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תת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u w:val="single"/>
          </w:rPr>
          <w:t>12140-03-17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היה שלא יעבור עבירה לפי </w:t>
      </w:r>
      <w:hyperlink r:id="rId7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אני קובע כי הפסילה שהופעלה תחול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לפסילה שקבעתי בגין העבירות החדשות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כעולה מהאמור הנאשם יהיה פסול מקבל או החזק רישיון נהיגה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למשך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שמניינם מיום שחרורו ממאסרו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תיק הסמים בעניינו של נאשם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מכתב האישום 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באחד מימי חודש אוקטובר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שהיה בחופשה מהכלא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קשר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אחר להחדיר סמים לכלא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לצורך כך הוא בלע סם מסוג חשיש במשקל </w:t>
      </w:r>
      <w:r>
        <w:rPr>
          <w:rFonts w:cs="David" w:ascii="David" w:hAnsi="David"/>
        </w:rPr>
        <w:t>5.8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עטוף בניילון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המהלך לא הושלם הודות למידע שהתקבל אצל גורמי הביטחון שהביא להעברתו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למתקן אשמורת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הוא פלט את הסם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מעשיו בהם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קשירת קשר לעשות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</w:t>
      </w:r>
      <w:r>
        <w:rPr>
          <w:rFonts w:ascii="David" w:hAnsi="David"/>
          <w:b/>
          <w:b/>
          <w:bCs/>
          <w:rtl w:val="true"/>
        </w:rPr>
        <w:t>החזקת סמים שלא לצריכה עצמית</w:t>
      </w:r>
      <w:r>
        <w:rPr>
          <w:rFonts w:ascii="David" w:hAnsi="David"/>
          <w:rtl w:val="true"/>
        </w:rPr>
        <w:t xml:space="preserve"> לפי </w:t>
      </w:r>
      <w:hyperlink r:id="rId7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76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ל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 ניסה הנאשם להחדיר סמים לכלא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אסיר הנתון למשמורת בית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קושר קשר עם אחר לקידום התכנית העבריינית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ביקשה לקבוע מתחם שנע בין</w:t>
      </w:r>
      <w:r>
        <w:rPr>
          <w:rFonts w:ascii="David" w:hAnsi="David"/>
          <w:b/>
          <w:b/>
          <w:bCs/>
          <w:rtl w:val="true"/>
        </w:rPr>
        <w:t xml:space="preserve"> מספר חודשי מאסר ועד לשנת מאסר בפועל</w:t>
      </w:r>
      <w:r>
        <w:rPr>
          <w:rFonts w:ascii="David" w:hAnsi="David"/>
          <w:rtl w:val="true"/>
        </w:rPr>
        <w:t xml:space="preserve"> לצד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לגזור את העונש במחצית העליונה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ביקש לקבוע מתחם הנע בין מספר </w:t>
      </w:r>
      <w:r>
        <w:rPr>
          <w:rFonts w:ascii="David" w:hAnsi="David"/>
          <w:b/>
          <w:b/>
          <w:bCs/>
          <w:rtl w:val="true"/>
        </w:rPr>
        <w:t>חודשי מאסר בפועל שיכול וירוצו בעבודות שירות ועד למספר חודשי מאסר בכליאה ממשית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שנפגעו כאן הם שמירה על הסדר הציבורי והמשמעת בכותלי בית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שמירה על בריאות האסירים וביטחונם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נוכח ההשלכות שיש להימצאותם של סמים על החיים בכלא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אלה היא בינונית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היקף וסוג הסמים אותם ניסה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להכניס לכלא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נוכח העובדה שהניסיון לא צלח ולא התקיימה פגיעה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4144/15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אלטיף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16.6.2015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הנאשם בעבירה של ניסיון להספקת 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שבעת שהגיע לבקר אסיר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נתפסו על גופו ובתחתוניו סמים מסוג חשיש וקנבוס במשקל כולל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שהמתחם בגין מקרה חד פעמי של ניסיון החדרת סם מסוכן למתקן כליאה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קנס כספי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וגזר עליו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ממשי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ובית המשפט העליון דחו את ערעורו ואת בקשת רשות הערעור שהגיש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ביצוע העבירות כאן בסמיכות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וכחלק מאותה תכנית עבריינית להחדרת סמים לכלא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לראות בהן 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בשקילת כלל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התכנון שקדם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הסם שנתפס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שהחדרת הסמים סוכלה רק הודות למידע שהגיע לרשויות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את מתחם הענישה כאן כנע בין </w:t>
      </w:r>
      <w:r>
        <w:rPr>
          <w:rFonts w:ascii="David" w:hAnsi="David"/>
          <w:b/>
          <w:b/>
          <w:bCs/>
          <w:rtl w:val="true"/>
        </w:rPr>
        <w:t>מספר חודשי מאסר שיכול וירוצו בדרך של עבודות שירות ברף התחתון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ממשי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בתקרתו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עונש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מצאתי עילה לסטות ממתחם הענישה שקבעתי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 לא הוצג לפניי אפיק שיקומי בעניינו של נאשם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שקלתי את נסיבותיו האישיות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 במסגרת הדיון בתיק העיקרי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עוד התייחסתי לעברו הפלילי הרלוונטי לכאן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אמנם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עבר פלילי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ביצע עבירות חמורות מסוג פשע שגרמו לפגיעה בסדר הציבורי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כמו כן שקלתי את הודאתו בהזדמנות הראשונה לפניי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צירוף התיק לכאן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שחסך 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חלוף הזמן מאז ביצוע העבירות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למעלה משנתיים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יש חשיבות להרתעת היחיד והרבים מביצוע עבירות מסוג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לאחר שקילת כלל נסיבות ביצוע העבירה ראיתי לקבוע את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 התחתון של מתחם הענישה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ולגזור עליו עונש של </w:t>
      </w:r>
      <w:r>
        <w:rPr>
          <w:rFonts w:ascii="David" w:hAnsi="David"/>
          <w:b/>
          <w:b/>
          <w:bCs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לריצוי ממשי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שיצטברו</w:t>
      </w:r>
      <w:r>
        <w:rPr>
          <w:rFonts w:ascii="David" w:hAnsi="David"/>
          <w:rtl w:val="true"/>
        </w:rPr>
        <w:t xml:space="preserve"> לעונש המאסר שנגזר עליו במסגרת התיק העיקרי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931" w:leader="none"/>
        </w:tabs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העולה מן האמור הוא שהנאשם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ירצה סך הכל ארבעים וארבעה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cs="David" w:ascii="David" w:hAnsi="David"/>
          <w:b/>
          <w:bCs/>
          <w:u w:val="single"/>
        </w:rPr>
        <w:t>44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>חודשי מאסר בפועל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שמניינם מיום מעצרו בתיק העיקרי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בתאריך </w:t>
      </w:r>
      <w:r>
        <w:rPr>
          <w:rFonts w:cs="David" w:ascii="David" w:hAnsi="David"/>
          <w:b/>
          <w:bCs/>
          <w:u w:val="single"/>
        </w:rPr>
        <w:t>21.4.2020</w:t>
      </w:r>
      <w:r>
        <w:rPr>
          <w:rFonts w:cs="David" w:ascii="David" w:hAnsi="David"/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לצד זאת אני גוזר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עשרה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חודשי מאסר אותם לא ירצה אלא אם ישוב ויעבור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של החזקה או שימוש בסמים שלא לצריכה עצמית לפי </w:t>
      </w:r>
      <w:hyperlink r:id="rId7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ל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או עבירה של 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תיווך או גידול של סמים מסוכנים בניגוד לפקודת הסמים המסוכנים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נוכח תקופת המאסר הממושכת בעניינו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להטיל גם רכיב של פסילה מותנית של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כבקשת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רכיב הקנס בגין ביצוע העבירות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 בחשבון במסגרת הטלת הקנס שניתנה 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אני מורה על השמדת מוצגי הסמים והמטענים לאחר הפיכת גזר הדין לחלוט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זכות ערעור כחוק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הצדדים קיבלו עותקי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82"/>
      <w:footerReference w:type="default" r:id="rId8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33131-05-20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ואיל מחאמיד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10.a" TargetMode="External"/><Relationship Id="rId17" Type="http://schemas.openxmlformats.org/officeDocument/2006/relationships/hyperlink" Target="http://www.nevo.co.il/law/5227/37" TargetMode="External"/><Relationship Id="rId18" Type="http://schemas.openxmlformats.org/officeDocument/2006/relationships/hyperlink" Target="http://www.nevo.co.il/law/5227/38.1" TargetMode="External"/><Relationship Id="rId19" Type="http://schemas.openxmlformats.org/officeDocument/2006/relationships/hyperlink" Target="http://www.nevo.co.il/law/5227/62.2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case/27171364" TargetMode="External"/><Relationship Id="rId31" Type="http://schemas.openxmlformats.org/officeDocument/2006/relationships/hyperlink" Target="http://www.nevo.co.il/case/17948154" TargetMode="External"/><Relationship Id="rId32" Type="http://schemas.openxmlformats.org/officeDocument/2006/relationships/hyperlink" Target="http://www.nevo.co.il/case/27171364" TargetMode="External"/><Relationship Id="rId33" Type="http://schemas.openxmlformats.org/officeDocument/2006/relationships/hyperlink" Target="http://www.nevo.co.il/case/20395125" TargetMode="External"/><Relationship Id="rId34" Type="http://schemas.openxmlformats.org/officeDocument/2006/relationships/hyperlink" Target="http://www.nevo.co.il/case/26019023" TargetMode="External"/><Relationship Id="rId35" Type="http://schemas.openxmlformats.org/officeDocument/2006/relationships/hyperlink" Target="http://www.nevo.co.il/case/27091247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58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6905927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4216/7.a" TargetMode="External"/><Relationship Id="rId44" Type="http://schemas.openxmlformats.org/officeDocument/2006/relationships/hyperlink" Target="http://www.nevo.co.il/law/4216/7.c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74501/2.a" TargetMode="External"/><Relationship Id="rId47" Type="http://schemas.openxmlformats.org/officeDocument/2006/relationships/hyperlink" Target="http://www.nevo.co.il/law/74501" TargetMode="External"/><Relationship Id="rId48" Type="http://schemas.openxmlformats.org/officeDocument/2006/relationships/hyperlink" Target="http://www.nevo.co.il/law/5227/62.2" TargetMode="External"/><Relationship Id="rId49" Type="http://schemas.openxmlformats.org/officeDocument/2006/relationships/hyperlink" Target="http://www.nevo.co.il/law/5227" TargetMode="External"/><Relationship Id="rId50" Type="http://schemas.openxmlformats.org/officeDocument/2006/relationships/hyperlink" Target="http://www.nevo.co.il/law/5227/10.a" TargetMode="External"/><Relationship Id="rId51" Type="http://schemas.openxmlformats.org/officeDocument/2006/relationships/hyperlink" Target="http://www.nevo.co.il/case/19999565" TargetMode="External"/><Relationship Id="rId52" Type="http://schemas.openxmlformats.org/officeDocument/2006/relationships/hyperlink" Target="http://www.nevo.co.il/case/21901025" TargetMode="External"/><Relationship Id="rId53" Type="http://schemas.openxmlformats.org/officeDocument/2006/relationships/hyperlink" Target="http://www.nevo.co.il/law/5227/38.1" TargetMode="External"/><Relationship Id="rId54" Type="http://schemas.openxmlformats.org/officeDocument/2006/relationships/hyperlink" Target="http://www.nevo.co.il/law/5227/37" TargetMode="External"/><Relationship Id="rId55" Type="http://schemas.openxmlformats.org/officeDocument/2006/relationships/hyperlink" Target="http://www.nevo.co.il/law/5227" TargetMode="External"/><Relationship Id="rId56" Type="http://schemas.openxmlformats.org/officeDocument/2006/relationships/hyperlink" Target="http://www.nevo.co.il/law/4216/7.c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law/5227/10.a" TargetMode="External"/><Relationship Id="rId59" Type="http://schemas.openxmlformats.org/officeDocument/2006/relationships/hyperlink" Target="http://www.nevo.co.il/law/5227" TargetMode="External"/><Relationship Id="rId60" Type="http://schemas.openxmlformats.org/officeDocument/2006/relationships/hyperlink" Target="http://www.nevo.co.il/law/5227/62.2" TargetMode="External"/><Relationship Id="rId61" Type="http://schemas.openxmlformats.org/officeDocument/2006/relationships/hyperlink" Target="http://www.nevo.co.il/law/5227/10.a" TargetMode="External"/><Relationship Id="rId62" Type="http://schemas.openxmlformats.org/officeDocument/2006/relationships/hyperlink" Target="http://www.nevo.co.il/law/5227" TargetMode="External"/><Relationship Id="rId63" Type="http://schemas.openxmlformats.org/officeDocument/2006/relationships/hyperlink" Target="http://www.nevo.co.il/law/5227/62.2" TargetMode="External"/><Relationship Id="rId64" Type="http://schemas.openxmlformats.org/officeDocument/2006/relationships/hyperlink" Target="http://www.nevo.co.il/law/74501/2.a" TargetMode="External"/><Relationship Id="rId65" Type="http://schemas.openxmlformats.org/officeDocument/2006/relationships/hyperlink" Target="http://www.nevo.co.il/law/74501" TargetMode="External"/><Relationship Id="rId66" Type="http://schemas.openxmlformats.org/officeDocument/2006/relationships/hyperlink" Target="http://www.nevo.co.il/case/16945205" TargetMode="External"/><Relationship Id="rId67" Type="http://schemas.openxmlformats.org/officeDocument/2006/relationships/hyperlink" Target="http://www.nevo.co.il/case/22360419" TargetMode="External"/><Relationship Id="rId68" Type="http://schemas.openxmlformats.org/officeDocument/2006/relationships/hyperlink" Target="http://www.nevo.co.il/law/5227/10.a" TargetMode="External"/><Relationship Id="rId69" Type="http://schemas.openxmlformats.org/officeDocument/2006/relationships/hyperlink" Target="http://www.nevo.co.il/law/5227" TargetMode="External"/><Relationship Id="rId70" Type="http://schemas.openxmlformats.org/officeDocument/2006/relationships/hyperlink" Target="http://www.nevo.co.il/case/22360419" TargetMode="External"/><Relationship Id="rId71" Type="http://schemas.openxmlformats.org/officeDocument/2006/relationships/hyperlink" Target="http://www.nevo.co.il/law/5227/10.a" TargetMode="External"/><Relationship Id="rId72" Type="http://schemas.openxmlformats.org/officeDocument/2006/relationships/hyperlink" Target="http://www.nevo.co.il/law/5227" TargetMode="External"/><Relationship Id="rId73" Type="http://schemas.openxmlformats.org/officeDocument/2006/relationships/hyperlink" Target="http://www.nevo.co.il/law/70301/499.a.1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4216/7.a" TargetMode="External"/><Relationship Id="rId76" Type="http://schemas.openxmlformats.org/officeDocument/2006/relationships/hyperlink" Target="http://www.nevo.co.il/law/4216/7.c" TargetMode="External"/><Relationship Id="rId77" Type="http://schemas.openxmlformats.org/officeDocument/2006/relationships/hyperlink" Target="http://www.nevo.co.il/law/4216" TargetMode="External"/><Relationship Id="rId78" Type="http://schemas.openxmlformats.org/officeDocument/2006/relationships/hyperlink" Target="http://www.nevo.co.il/case/20356752" TargetMode="External"/><Relationship Id="rId79" Type="http://schemas.openxmlformats.org/officeDocument/2006/relationships/hyperlink" Target="http://www.nevo.co.il/law/4216/7.c" TargetMode="External"/><Relationship Id="rId80" Type="http://schemas.openxmlformats.org/officeDocument/2006/relationships/hyperlink" Target="http://www.nevo.co.il/law/4216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2021-10-11T08:39:00Z</dcterms:created>
  <dc:creator> </dc:creator>
  <dc:description/>
  <cp:keywords/>
  <dc:language>en-IL</dc:language>
  <cp:lastModifiedBy>h1</cp:lastModifiedBy>
  <dcterms:modified xsi:type="dcterms:W3CDTF">2021-10-11T08:39:00Z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ואיל מחאמיד;מוחמד גריפאת;פאדי גריפאת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27171364:2;17948154;20395125;26019023;27091247;26905927;19999565;21901025;16945205;22360419:2;20356752</vt:lpwstr>
  </property>
  <property fmtid="{D5CDD505-2E9C-101B-9397-08002B2CF9AE}" pid="9" name="CITY">
    <vt:lpwstr>חי'</vt:lpwstr>
  </property>
  <property fmtid="{D5CDD505-2E9C-101B-9397-08002B2CF9AE}" pid="10" name="DATE">
    <vt:lpwstr>20210315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70301/144.b2:2;029:3;144.a:2;144.b;144:2;058;499.a.1</vt:lpwstr>
  </property>
  <property fmtid="{D5CDD505-2E9C-101B-9397-08002B2CF9AE}" pid="15" name="LAWLISTTMP2">
    <vt:lpwstr>4216/007.a:2;007.c:4</vt:lpwstr>
  </property>
  <property fmtid="{D5CDD505-2E9C-101B-9397-08002B2CF9AE}" pid="16" name="LAWLISTTMP3">
    <vt:lpwstr>74501/002.a:2</vt:lpwstr>
  </property>
  <property fmtid="{D5CDD505-2E9C-101B-9397-08002B2CF9AE}" pid="17" name="LAWLISTTMP4">
    <vt:lpwstr>5227/062.2:3;010.a:5;038.1;037</vt:lpwstr>
  </property>
  <property fmtid="{D5CDD505-2E9C-101B-9397-08002B2CF9AE}" pid="18" name="LAWYER">
    <vt:lpwstr>רינת לוי;מוחמד מחאג'נה;גיל דביר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33131</vt:lpwstr>
  </property>
  <property fmtid="{D5CDD505-2E9C-101B-9397-08002B2CF9AE}" pid="25" name="NEWPARTB">
    <vt:lpwstr>05</vt:lpwstr>
  </property>
  <property fmtid="{D5CDD505-2E9C-101B-9397-08002B2CF9AE}" pid="26" name="NEWPARTC">
    <vt:lpwstr>20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390020210315</vt:lpwstr>
  </property>
  <property fmtid="{D5CDD505-2E9C-101B-9397-08002B2CF9AE}" pid="37" name="TYPE_N_DATE">
    <vt:lpwstr>39020210315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