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33420-12-20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בשיתי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 (W1);Arial" w:hAnsi="Arial (W1);Arial" w:cs="Arial (W1);Arial"/>
          <w:b/>
          <w:bCs/>
          <w:sz w:val="26"/>
          <w:szCs w:val="26"/>
          <w:lang w:val="en-IL" w:eastAsia="en-IL"/>
        </w:rPr>
      </w:pPr>
      <w:r>
        <w:rPr>
          <w:rFonts w:cs="Arial (W1);Arial" w:ascii="Arial (W1);Arial" w:hAnsi="Arial (W1);Arial"/>
          <w:b/>
          <w:bCs/>
          <w:sz w:val="26"/>
          <w:szCs w:val="26"/>
          <w:rtl w:val="true"/>
          <w:lang w:val="en-IL" w:eastAsia="en-IL"/>
        </w:rPr>
      </w:r>
    </w:p>
    <w:p>
      <w:pPr>
        <w:pStyle w:val="Normal"/>
        <w:ind w:end="0"/>
        <w:jc w:val="start"/>
        <w:rPr>
          <w:rFonts w:ascii="Arial (W1);Arial" w:hAnsi="Arial (W1);Arial" w:cs="Arial (W1);Arial"/>
          <w:b/>
          <w:bCs/>
          <w:sz w:val="26"/>
          <w:szCs w:val="26"/>
          <w:lang w:val="en-IL" w:eastAsia="en-IL"/>
        </w:rPr>
      </w:pPr>
      <w:r>
        <w:rPr>
          <w:rFonts w:cs="Arial (W1);Arial" w:ascii="Arial (W1);Arial" w:hAnsi="Arial (W1);Arial"/>
          <w:b/>
          <w:bCs/>
          <w:sz w:val="26"/>
          <w:szCs w:val="26"/>
          <w:rtl w:val="true"/>
          <w:lang w:val="en-IL" w:eastAsia="en-IL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8077"/>
      </w:tblGrid>
      <w:tr>
        <w:trPr>
          <w:trHeight w:val="295" w:hRule="atLeast"/>
        </w:trPr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807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מוחמד חאג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יחיא</w:t>
            </w:r>
          </w:p>
        </w:tc>
      </w:tr>
    </w:tbl>
    <w:p>
      <w:pPr>
        <w:pStyle w:val="Normal"/>
        <w:ind w:end="0"/>
        <w:jc w:val="start"/>
        <w:rPr>
          <w:rFonts w:ascii="Arial (W1);Arial" w:hAnsi="Arial (W1);Arial" w:cs="Arial (W1);Arial"/>
          <w:b/>
          <w:bCs/>
          <w:sz w:val="26"/>
          <w:szCs w:val="26"/>
          <w:lang w:val="en-IL" w:eastAsia="en-IL"/>
        </w:rPr>
      </w:pPr>
      <w:r>
        <w:rPr>
          <w:rFonts w:cs="Arial (W1);Arial" w:ascii="Arial (W1);Arial" w:hAnsi="Arial (W1);Arial"/>
          <w:b/>
          <w:bCs/>
          <w:sz w:val="26"/>
          <w:szCs w:val="26"/>
          <w:rtl w:val="true"/>
          <w:lang w:val="en-IL" w:eastAsia="en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  <w:lang w:val="en-IL" w:eastAsia="en-IL"/>
        </w:rPr>
      </w:r>
    </w:p>
    <w:tbl>
      <w:tblPr>
        <w:bidiVisual w:val="true"/>
        <w:tblW w:w="8756" w:type="dxa"/>
        <w:jc w:val="start"/>
        <w:tblInd w:w="-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68"/>
        <w:gridCol w:w="5888"/>
      </w:tblGrid>
      <w:tr>
        <w:trPr>
          <w:trHeight w:val="724" w:hRule="atLeast"/>
          <w:cantSplit w:val="true"/>
        </w:trPr>
        <w:tc>
          <w:tcPr>
            <w:tcW w:w="2868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  <w:p>
            <w:pPr>
              <w:pStyle w:val="Normal"/>
              <w:ind w:start="26" w:end="0"/>
              <w:jc w:val="start"/>
              <w:rPr>
                <w:rFonts w:ascii="Arial (W1);Arial" w:hAnsi="Arial (W1);Arial" w:cs="Arial (W1);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88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 (W1);Arial" w:hAnsi="Arial (W1);Arial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Arial (W1);Arial" w:hAnsi="Arial (W1);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לירון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עופר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sz w:val="26"/>
                <w:szCs w:val="26"/>
                <w:rtl w:val="true"/>
              </w:rPr>
              <w:t>-</w:t>
            </w:r>
            <w:r>
              <w:rPr>
                <w:sz w:val="26"/>
                <w:sz w:val="26"/>
                <w:szCs w:val="26"/>
                <w:rtl w:val="true"/>
              </w:rPr>
              <w:t>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56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68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88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אשרף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בשיתי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נביל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זינאתי</w:t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sz w:val="26"/>
                <w:szCs w:val="26"/>
              </w:rPr>
            </w:pPr>
            <w:r>
              <w:rPr>
                <w:rFonts w:cs="Arial (W1);Arial" w:ascii="Arial (W1);Arial" w:hAnsi="Arial (W1);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sz w:val="26"/>
                <w:szCs w:val="26"/>
              </w:rPr>
            </w:pPr>
            <w:r>
              <w:rPr>
                <w:rFonts w:cs="Arial (W1);Arial" w:ascii="Arial (W1);Arial" w:hAnsi="Arial (W1);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sz w:val="26"/>
                <w:szCs w:val="26"/>
              </w:rPr>
            </w:pPr>
            <w:r>
              <w:rPr>
                <w:rFonts w:cs="Arial (W1);Arial" w:ascii="Arial (W1);Arial" w:hAnsi="Arial (W1);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b/>
                <w:bCs/>
                <w:sz w:val="26"/>
                <w:szCs w:val="26"/>
              </w:rPr>
            </w:pPr>
            <w:r>
              <w:rPr>
                <w:rFonts w:cs="Arial (W1);Arial" w:ascii="Arial (W1);Arial" w:hAnsi="Arial (W1);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bookmarkStart w:id="13" w:name="ABSTRACT_START"/>
      <w:bookmarkEnd w:id="13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25.12.2022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שמיעת עדויות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בהחזקת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לפי </w:t>
      </w:r>
      <w:hyperlink r:id="rId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רישא וסיפא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8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התשל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ז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cs="Miriam" w:ascii="Miriam" w:hAnsi="Miriam"/>
          <w:sz w:val="24"/>
          <w:szCs w:val="24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חוק העונשין</w:t>
      </w:r>
      <w:r>
        <w:rPr>
          <w:rFonts w:cs="FrankRuehl" w:ascii="FrankRuehl" w:hAnsi="FrankRuehl"/>
          <w:sz w:val="28"/>
          <w:szCs w:val="28"/>
          <w:rtl w:val="true"/>
        </w:rPr>
        <w:t>").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לפי האישום וכפי שהוכח במשפט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ממועד שאינו ידוע במדויק ועד יום </w:t>
      </w:r>
      <w:r>
        <w:rPr>
          <w:rFonts w:cs="FrankRuehl" w:ascii="FrankRuehl" w:hAnsi="FrankRuehl"/>
          <w:sz w:val="28"/>
          <w:szCs w:val="28"/>
        </w:rPr>
        <w:t>30.11.2020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החזיק הנאשם בשתי מכולות הנמצאות בשטח ביתו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אביזרים ותחמושת לנשק כמפורט 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דמוי רובה סער מסוג </w:t>
      </w:r>
      <w:r>
        <w:rPr>
          <w:rFonts w:cs="FrankRuehl" w:ascii="FrankRuehl" w:hAnsi="FrankRuehl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 </w:t>
      </w:r>
      <w:r>
        <w:rPr>
          <w:rFonts w:cs="FrankRuehl" w:ascii="FrankRuehl" w:hAnsi="FrankRuehl"/>
          <w:sz w:val="28"/>
          <w:szCs w:val="28"/>
        </w:rPr>
        <w:t>5.56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המתאימים לנשק מסוג </w:t>
      </w:r>
      <w:r>
        <w:rPr>
          <w:rFonts w:cs="FrankRuehl" w:ascii="FrankRuehl" w:hAnsi="FrankRuehl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 שקיות מלאות במתפסים לנשק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ידית אחיזה לנשק ודורגלים </w:t>
      </w:r>
      <w:bookmarkStart w:id="14" w:name="ABSTRACT_END"/>
      <w:bookmarkEnd w:id="14"/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-"</w:t>
      </w:r>
      <w:r>
        <w:rPr>
          <w:rFonts w:ascii="Miriam" w:hAnsi="Miriam" w:cs="Miriam"/>
          <w:sz w:val="24"/>
          <w:sz w:val="24"/>
          <w:szCs w:val="24"/>
          <w:rtl w:val="true"/>
        </w:rPr>
        <w:t>האמל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ח</w:t>
      </w:r>
      <w:r>
        <w:rPr>
          <w:rFonts w:cs="FrankRuehl" w:ascii="FrankRuehl" w:hAnsi="FrankRuehl"/>
          <w:sz w:val="28"/>
          <w:szCs w:val="28"/>
          <w:rtl w:val="true"/>
        </w:rPr>
        <w:t>").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דיון טיעונים לעונש התקיים ביום </w:t>
      </w:r>
      <w:r>
        <w:rPr>
          <w:rFonts w:cs="FrankRuehl" w:ascii="FrankRuehl" w:hAnsi="FrankRuehl"/>
          <w:sz w:val="28"/>
          <w:szCs w:val="28"/>
        </w:rPr>
        <w:t>11.6.2023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זה המקום לציין כי אך בבוקר הדיון ולמרות מרחק הזמן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לבקשת ההגנה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בינו לבין מועד הקראת הכרעת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ביקשה ההגנה לראשונה להעביר את עניינו של הנאשם לשירות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עיתוי הגשת הבקשה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הוריתי כי הדיון יתקיים במועדו והבקשה תדון בפתחו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שהחלטתי בדיון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נשמעו טיעוני הצדדים לעונש והחלטה בבקשה ניתנה ביום למחרת </w:t>
      </w:r>
      <w:r>
        <w:rPr>
          <w:rFonts w:cs="FrankRuehl" w:ascii="FrankRuehl" w:hAnsi="FrankRuehl"/>
          <w:sz w:val="28"/>
          <w:szCs w:val="28"/>
        </w:rPr>
        <w:t>12.6.2023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בהחלטה האמורה נדחתה הבקשה לתסקיר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נוכח הקושי הנובע מעיתויה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מהטעם שטענות ההגנה לעניין נסיבותיו האישיות של הנאשם הועלו היטב בטיעונים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לאור העמדות העונשיות שהוצגו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אף מאחר והנאשם ממילא אינו נוטל אחריות על מעשיו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תמצית טענות הצדדים לעונש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המאשימה טוענת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השאר ובעיקר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במעשים בהם הורשע הנאשם הוא פגע בערכים המוגנים של שלום הציבור וביטחונו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בסדר החברתי ובשלטון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החזיק נשק קטלני שפוטנציאל הנזק הטמון בו הוא גבוה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 היה עם מחסנית מלאה בכדורים כך שהוא היה זמין ומוכן לשימוש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 הייתה שליטה על המכולות שבהן נמצא האמל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הימצאות תחמושת נוספת מגבירה את חומרת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שהעבירה בוצעה לפני 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9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עותרת המאשימה לקביעת מתחם שינוע בין </w:t>
      </w: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ועד </w:t>
      </w:r>
      <w:r>
        <w:rPr>
          <w:rFonts w:cs="FrankRuehl" w:ascii="FrankRuehl" w:hAnsi="FrankRuehl"/>
          <w:sz w:val="28"/>
          <w:szCs w:val="28"/>
        </w:rPr>
        <w:t>50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ענישה נלווית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בעל עבר פלילי ולא נטל אחריות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גורסת המאשימה כי יש למקֵם את עונשו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מעט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מעל תחתית המתחם ולהשית עליו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לצד מאסר מותנה וקנס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 – באמצעות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כוחו </w:t>
      </w:r>
      <w:r>
        <w:rPr>
          <w:rFonts w:ascii="Miriam" w:hAnsi="Miriam" w:cs="Miriam"/>
          <w:sz w:val="24"/>
          <w:sz w:val="24"/>
          <w:szCs w:val="24"/>
          <w:rtl w:val="true"/>
        </w:rPr>
        <w:t>עו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ד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זינאתי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טוען 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השאר ובעיקר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מתחם הענישה אליו טוענת המאשימה הוא מחמיר ביותר ואינו הולם את נסיבות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העבירה בוצעה לפני התיקון המוזכר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10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ועל כך יש ליתן את הדעת מבחינת קולת העונש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כל אינדיקציה לכך שהנאשם התכוון לעשות שימוש כלשהו בנשק זה ואף לא רמזה המאשימה לקיומו של כל מניע בנדון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עצמו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לפי הסניגור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החזיק בנשק כהגנה עצמית נוכח תחושת ההפקרות על רקע הפשיעה הגואה וחוסר הביטחון שפוקד את הארץ בכלל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ובפרט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נוכח מיקום מגוריו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כפר עקב באזור ירושלים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והעדר האכיפה 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וכדבריו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אין דין ואין דיין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אמנם לנאשם קיים עבר פלילי ותעבורתי אך מדובר באירועים רחוקים שאין להם כל זיקה לעבירות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כך שאילולא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השטות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היה מוגדר כאדם נורמטיבי לחלוטין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הוא בן </w:t>
      </w:r>
      <w:r>
        <w:rPr>
          <w:rFonts w:cs="FrankRuehl" w:ascii="FrankRuehl" w:hAnsi="FrankRuehl"/>
          <w:sz w:val="28"/>
          <w:szCs w:val="28"/>
        </w:rPr>
        <w:t>43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ואב לילדים קטנים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עובד בכבוד לפרנסת משפחתו וגם מעסיק עובדים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מאז שהועמד לדין לא נפתחו נגדו תיקים חדשים והוא שהה לתקופה ממושכת בתנאים מגבילים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הסניגור עתר שוב להעברת עניינו של הנאשם לשירות 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ומכל 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עתר לכך שמתחם הענישה ההולמת ינוע בין מאסר שירוצה בעבודות שירות ועד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לדידו ניתן לסטות לקולא מהרף התחתון של המתחם המוצע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גם הנאשם עצמו דיבר לפניי בדיון האחרון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טען כי לא עשה דבר מהמיוחס 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תיאר כי הוא מממן את עלויות הלימודים האקדמיים של ילדיו הבוגרים ויש לו שני ילדים קטינים 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 גם שהוא נושא בעול הכספי של המשפחה הגדולה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שכל יום מאסר יפגע בו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0"/>
          <w:szCs w:val="20"/>
          <w:u w:val="single"/>
        </w:rPr>
      </w:pPr>
      <w:r>
        <w:rPr>
          <w:rFonts w:cs="FrankRuehl" w:ascii="FrankRuehl" w:hAnsi="FrankRuehl"/>
          <w:sz w:val="20"/>
          <w:szCs w:val="20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1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12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העיקרון המנחה בענישה הוא קיומו של יחס הולם בין חומרת מעשה העבירה בנסיבותיו ומידת אשמו של הנאשם ובין סוג ומידת העונש המוטל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hyperlink r:id="rId1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לקביעת מתחם העונש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יתחשב בערך החברתי שנפגע מביצוע העבירה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במידת הפגיעה בו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במדיניות הענישה הנהוגה ובנסיבות הקשורות בביצוע העבירה כאמור בסעיף </w:t>
      </w:r>
      <w:r>
        <w:rPr>
          <w:rFonts w:cs="Miriam" w:ascii="Miriam" w:hAnsi="Miriam"/>
          <w:sz w:val="24"/>
          <w:szCs w:val="24"/>
        </w:rPr>
        <w:t>40</w:t>
      </w:r>
      <w:r>
        <w:rPr>
          <w:rFonts w:ascii="Miriam" w:hAnsi="Miriam" w:cs="Miriam"/>
          <w:sz w:val="24"/>
          <w:sz w:val="24"/>
          <w:szCs w:val="24"/>
          <w:rtl w:val="true"/>
        </w:rPr>
        <w:t>ט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ולפי </w:t>
      </w:r>
      <w:hyperlink r:id="rId1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"</w:t>
      </w:r>
      <w:r>
        <w:rPr>
          <w:rFonts w:ascii="Miriam" w:hAnsi="Miriam" w:cs="Miriam"/>
          <w:sz w:val="24"/>
          <w:sz w:val="24"/>
          <w:szCs w:val="24"/>
          <w:rtl w:val="true"/>
        </w:rPr>
        <w:t>בתוך מתחם העונש ההולם יגזור בית המשפט את העונש המתאים לנאשם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בהתחשב בנסיבות שאינן קשורות בביצוע העבירה</w:t>
      </w:r>
      <w:r>
        <w:rPr>
          <w:rFonts w:cs="Miriam" w:ascii="Miriam" w:hAnsi="Miriam"/>
          <w:sz w:val="24"/>
          <w:szCs w:val="24"/>
          <w:rtl w:val="true"/>
        </w:rPr>
        <w:t>...</w:t>
      </w:r>
      <w:r>
        <w:rPr>
          <w:rFonts w:cs="FrankRuehl" w:ascii="FrankRuehl" w:hAnsi="FrankRuehl"/>
          <w:sz w:val="28"/>
          <w:szCs w:val="28"/>
          <w:rtl w:val="true"/>
        </w:rPr>
        <w:t>".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6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הערכים המוגנים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להכביר במילים ביחס לאיסור להחזיק אמצעי לחימה כדוגמת נשקים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 לכל כי מדובר בכלים מסוכנים ועלולים להמית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מלבד הסיכון הממשי הטמון בשימוש בנשק בין לפעילות עבריינית בין למעשי 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עצם החזקתו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יכולה להביא לכך שהוא יגיע גם לידיים נוספות זולת המחזיק בו מלכתחילה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שמגביר את עוצמת הסיכונים הנשקפים ממנו כלפי שלום הציבור וביטחונם האישי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שלמות הגוף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הרכוש ועיקרון שלטון החוק והסדר 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4945/13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סלימאן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19.1.2014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 שם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הסכנה הנשקפת לציבור כתוצאה מעבירות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המימדים שאליהם הגיעו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מחייבים לתת ביטוי הולם וכבד משקל להגנה על הערך החברתי שנפגע כתוצאה מפעילות עבריינית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ולהחמיר את עונשי המאסר המוטלים בגין פעילות עבריינית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בהדרגה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חסן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5.6.2013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>,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המציאות בארץ המתבטאת בזמינותו של נשק חם ורב עוצמה שיש עימו פוטנציאל להסלמת האלימות העבריינית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מחייבת מתן ביטוי עונשי הולם שירתיע באופן ממשי מהחזקת נשק בכלל ומשימוש בו בפרט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2918/13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דבס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18.7.2013</w:t>
      </w:r>
      <w:r>
        <w:rPr>
          <w:rFonts w:cs="FrankRuehl" w:ascii="FrankRuehl" w:hAnsi="FrankRuehl"/>
          <w:sz w:val="28"/>
          <w:szCs w:val="28"/>
          <w:rtl w:val="true"/>
        </w:rPr>
        <w:t>))"</w:t>
      </w:r>
    </w:p>
    <w:p>
      <w:pPr>
        <w:pStyle w:val="Normal"/>
        <w:spacing w:lineRule="auto" w:line="360"/>
        <w:ind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7" w:start="651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3877/16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באלי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17.11.2016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start="651" w:end="567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זה עמד פעמים רבות על החומרה היתרה הגלומה בביצוע עבירות בנשק ובכללן העבירה של החזקת נשק או נשיאתו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עבירות אלה מקימות סיכון חמור לשלום הציבור וביטחונו ומחייבות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ליתן ביטוי עונשי הולם ומרתיע באמצעות הרחקת מבצע העבירה מן החברה לתקופת מאסר ממשית לריצוי בפועל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5120/11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שתיווי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18.12.2011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4329/10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25.10.2010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נפסק כי חומרתן של העבירות בנשק אינה מסתכמת רק בנזק שאירע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אם בפוטנציאל הנזק הנובע מאותן עבירות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116/13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וקנין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31.7.2013</w:t>
      </w:r>
      <w:r>
        <w:rPr>
          <w:rFonts w:cs="FrankRuehl" w:ascii="FrankRuehl" w:hAnsi="FrankRuehl"/>
          <w:sz w:val="28"/>
          <w:szCs w:val="28"/>
          <w:rtl w:val="true"/>
        </w:rPr>
        <w:t>))"</w:t>
      </w:r>
    </w:p>
    <w:p>
      <w:pPr>
        <w:pStyle w:val="Normal"/>
        <w:spacing w:lineRule="auto" w:line="360"/>
        <w:ind w:end="567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וממש בשנתיים האחרונות בית המשפט העליון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 לא אחת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חומרת התופעה והצורך בהחמרת הענישה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2251/21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אבו עראר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15.12.2021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בפסקה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כבוד השופט </w:t>
      </w:r>
      <w:r>
        <w:rPr>
          <w:rFonts w:ascii="Miriam" w:hAnsi="Miriam" w:cs="Miriam"/>
          <w:sz w:val="24"/>
          <w:sz w:val="24"/>
          <w:szCs w:val="24"/>
          <w:rtl w:val="true"/>
        </w:rPr>
        <w:t>ד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מינץ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תיאר את הדברים כהאי לישנא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מצויים אנו לעת הזאת במצב חירום של ממש בעניין עבירות נשק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גם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5602/22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14.9.2022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2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147/21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ביטון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14.2.2021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מלפני כחודשיים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כבוד השופט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אלרון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עמד על חומרת 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2165/23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פלאח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4.5.2023</w:t>
      </w:r>
      <w:r>
        <w:rPr>
          <w:rFonts w:cs="FrankRuehl" w:ascii="FrankRuehl" w:hAnsi="FrankRuehl"/>
          <w:sz w:val="28"/>
          <w:szCs w:val="28"/>
          <w:rtl w:val="true"/>
        </w:rPr>
        <w:t>)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עניין פלאח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בציינו בזו הלשון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הודגש לא אחת כי יש לנקוט במדיניות ענישה ממשית ומשמעותית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 ניתן מעמד בכורה מבין שיקולי הענישה לשיקולי הרתעת היחיד והרבים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שמשמעותה הרחקת עברייני הנשק מהחברה לפרק זמן 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ידי השמתם מאחורי סורג ובריח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נסיבות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לאחר שמיעת עדויות בהחזקת נשק דמוי רובה סער מסוג </w:t>
      </w:r>
      <w:r>
        <w:rPr>
          <w:rFonts w:cs="FrankRuehl" w:ascii="FrankRuehl" w:hAnsi="FrankRuehl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כדורים המתאימים לנשק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 שקיות מלאות במתפסים לנשק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ידית אחיזה ודורגלים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באמל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 ונשק התקפי לכל דבר ועניין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הסיכונים הגלומים באמצעי לחימה אלה הם גבוהים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ובפרט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ביחס לרובה </w:t>
      </w:r>
      <w:r>
        <w:rPr>
          <w:rFonts w:cs="FrankRuehl" w:ascii="FrankRuehl" w:hAnsi="FrankRuehl"/>
          <w:sz w:val="20"/>
          <w:szCs w:val="20"/>
        </w:rPr>
        <w:t>M</w:t>
      </w:r>
      <w:r>
        <w:rPr>
          <w:rFonts w:cs="FrankRuehl" w:ascii="FrankRuehl" w:hAnsi="FrankRuehl"/>
          <w:sz w:val="28"/>
          <w:szCs w:val="28"/>
        </w:rPr>
        <w:t>-16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שהוא קטלני ובעל פוטנציאל נזק רב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והשוו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עניין </w:t>
      </w:r>
      <w:r>
        <w:rPr>
          <w:rFonts w:ascii="Miriam" w:hAnsi="Miriam" w:cs="Miriam"/>
          <w:sz w:val="24"/>
          <w:sz w:val="24"/>
          <w:szCs w:val="24"/>
          <w:rtl w:val="true"/>
        </w:rPr>
        <w:t>פלאח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28.7.2022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התייחס בית המשפט לחומרה המוגברת הטמונה בנשקים מסוג רובים ותת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מקלעים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ind w:start="1440" w:end="567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בפסיקתו מן הזמן האחרון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משפט זה קבע לא אחת כי את מבצעיהן של עבירות נשק יש להעניש בחומרה יתרה – שכן מדובר בעבירות שהיו למכת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ושאחריהן בא השימוש הקטלני בנשק אשר מותיר אחריו פצועים ומתים כמעט מדי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מדיניות זו חלה ביתר שאת כאשר מדובר במכירה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ברכישה</w:t>
      </w:r>
      <w:r>
        <w:rPr>
          <w:rFonts w:cs="Miriam" w:ascii="Miriam" w:hAnsi="Miriam"/>
          <w:rtl w:val="true"/>
        </w:rPr>
        <w:t xml:space="preserve">, </w:t>
      </w:r>
      <w:r>
        <w:rPr>
          <w:rFonts w:ascii="Miriam" w:hAnsi="Miriam" w:cs="Miriam"/>
          <w:rtl w:val="true"/>
        </w:rPr>
        <w:t>בנשיאה או בהובלה – שלא כדין – של נשק התקפי בדמות תת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מקלעים ורובים ובשימוש לא חוקי בנשק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בטיפולנו בעבירות מסוג זה ובמבצעיהן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להרתעת היחיד והרבים ולהרחקת עברייני הנשק מהחברה על ידי השמתם בין כותלי הכלא לתקופות ממושכות יש מעמד בכורה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חומרת הביצוע נעוצה גם בהימצאות וזמינות הכדורים התואמים לנשק לצדו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לנאשם שליטה על המכולות בהן נמצא האמל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הוכח כי לנאשם המפתחות של מכולות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ובהן הוא מאחסן כלי עבודה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חלקי חילוף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כספים ואחת מהן אף משמשת עבורו כחדר עבודה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יוצא אפוא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סוג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הזמינות שלו לצד זמינות הכדורים לצדו עם כל יתר חלקי האמל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בכל אלה כדי לבסס את נסיבות ביצוע העבירה ברמת חומרה גבוהה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 לטענת ההגנה לפיה הנאשם לא התכוון להשתמש בנשק זה וכי המאשימה אף לא רמזה לקיומו של כל מניע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אינני סבור כי יש בזאת כדי להפחית מחומרת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לומר את הדברים בצורה ברורה וצלולה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עצם ההחזקה של הנשק והתחמושת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פוטנציאל הנזק הגלום בה – התנהגות זו כשלעצמה מבססת את החומרה הגבוהה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נצ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2024-04-21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מנדורי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29.6.2021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נפסק בהקשר זה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82</w:t>
      </w:r>
      <w:r>
        <w:rPr>
          <w:rFonts w:cs="FrankRuehl" w:ascii="FrankRuehl" w:hAnsi="FrankRuehl"/>
          <w:sz w:val="28"/>
          <w:szCs w:val="28"/>
          <w:rtl w:val="true"/>
        </w:rPr>
        <w:t>):</w:t>
      </w:r>
    </w:p>
    <w:p>
      <w:pPr>
        <w:pStyle w:val="ListParagraph"/>
        <w:ind w:end="0"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רואה אני לנכון לציין 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אין לקבל את הטענה שנשמעת חדשות לבקרים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 – הנשק הוחזק מבלי שנעשה בו שימוש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רוצה לומר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עצם החזקת הנשק היא עצמה אקט שראוי להוקעה ומלמד על שימוש שעניינו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שיכולה להיות מתמשכת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הדברים נכונים שבעתיים שעה שברי לכולם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לנשק אין רגליים וכי הוא לא צץ ו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צמח פתאום במקום הימצאותו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בטח לא מתוך האדמה ו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 כגשם מהשמיים</w:t>
      </w:r>
      <w:r>
        <w:rPr>
          <w:rFonts w:cs="FrankRuehl" w:ascii="FrankRuehl" w:hAnsi="FrankRuehl"/>
          <w:sz w:val="28"/>
          <w:szCs w:val="28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 לתֵזת ההגנה לפיה הנאשם החזיק את הנשק אך לצורך הגנה עצמית בלבד נוכח תחושת חוסר הביטחון והתסכול מהעדר אכיפה באזור מגוריו ובכלל – גם טענה זו אין בידי לקבל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ראשית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הנאשם עצמו לא נטל אחריות על ביצוע המיוחס לו גם לאחר הרשעתו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דיבר לפניי בדיון הטיעונים לעונש ומסר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אני לא עשיתי אז איך אני יכול לומר על משהו שלא עשיתי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  <w:r>
        <w:rPr>
          <w:rFonts w:ascii="Miriam" w:hAnsi="Miriam" w:cs="Miriam"/>
          <w:sz w:val="24"/>
          <w:sz w:val="24"/>
          <w:szCs w:val="24"/>
          <w:rtl w:val="true"/>
        </w:rPr>
        <w:t>שנית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אוי לנו כחברה אם כל אדם ייטול את החוק לידיו ויחליט להתחמש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וכל המוסיף – גורע</w:t>
      </w:r>
      <w:r>
        <w:rPr>
          <w:rFonts w:cs="FrankRuehl" w:ascii="FrankRuehl" w:hAnsi="FrankRuehl"/>
          <w:sz w:val="28"/>
          <w:szCs w:val="28"/>
          <w:rtl w:val="true"/>
        </w:rPr>
        <w:t>!</w:t>
      </w:r>
    </w:p>
    <w:p>
      <w:pPr>
        <w:pStyle w:val="ListParagraph"/>
        <w:spacing w:lineRule="auto" w:line="360" w:before="0" w:after="0"/>
        <w:ind w:start="651"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מדיניות הענישה הנהוגה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בחנתי את הפסיקה אליה הפנו הצדדים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הפסיקה שהציג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בחינתה ובחינת פסיקה רלבנטית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 כי מנעד הענישה הוא רחב אך לצד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בשנים האחרונות ניכרת מגמת החמרה בעבירות נשק והדבר בא לידי ביטוי בעונשי מאסר ממושכים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2482/22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קדורה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14.4.2022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בפסקה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קבע בית המשפט העליון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מפי כבוד השופט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עמית</w:t>
      </w:r>
      <w:r>
        <w:rPr>
          <w:rFonts w:cs="Miriam" w:ascii="Miriam" w:hAnsi="Miriam"/>
          <w:sz w:val="24"/>
          <w:szCs w:val="24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בצורה ברורה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ind w:end="0"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ידע כל מי שמחזיק בנשק בלתי חוקי כי צפוי הוא להיענש בחומרה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בבחינת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מחזיקים – למאסר נשלחים</w:t>
      </w:r>
      <w:r>
        <w:rPr>
          <w:rFonts w:cs="FrankRuehl" w:ascii="FrankRuehl" w:hAnsi="FrankRuehl"/>
          <w:sz w:val="28"/>
          <w:szCs w:val="28"/>
          <w:rtl w:val="true"/>
        </w:rPr>
        <w:t>""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567" w:start="651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ובפסיקה מלפני כשנה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309/22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ביאדסה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10.5.2022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 כלהלן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בשורה ארוכה של פסקי דין עמד בית משפט זה על החומרה הרבה הגלומה בעבירות 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ביסוד עבירות אלו עומדת פגיעה בחיי האדם ובשלמות גופו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 גם בביטחון הציבור ובסדר הציבורי בכללותו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1695/22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גנאים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29.3.2022</w:t>
      </w:r>
      <w:r>
        <w:rPr>
          <w:rFonts w:cs="FrankRuehl" w:ascii="FrankRuehl" w:hAnsi="FrankRuehl"/>
          <w:sz w:val="28"/>
          <w:szCs w:val="28"/>
          <w:rtl w:val="true"/>
        </w:rPr>
        <w:t xml:space="preserve">) (...); 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5522/20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חלייחל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24.2.2021</w:t>
      </w:r>
      <w:r>
        <w:rPr>
          <w:rFonts w:cs="FrankRuehl" w:ascii="FrankRuehl" w:hAnsi="FrankRuehl"/>
          <w:sz w:val="28"/>
          <w:szCs w:val="28"/>
          <w:rtl w:val="true"/>
        </w:rPr>
        <w:t xml:space="preserve">) (...);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סובח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5.11.2019</w:t>
      </w:r>
      <w:r>
        <w:rPr>
          <w:rFonts w:cs="FrankRuehl" w:ascii="FrankRuehl" w:hAnsi="FrankRuehl"/>
          <w:sz w:val="28"/>
          <w:szCs w:val="28"/>
          <w:rtl w:val="true"/>
        </w:rPr>
        <w:t xml:space="preserve">) (...).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 אלו חמורות במיוחד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היתר משום שהן עשויות לשמש בסיס לביצוע פעילות עבריינית או פעילות טרור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8017/20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גריפאת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22.12.2020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135/17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בסל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8.3.2017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אך באחרונה עמד בית משפט זה על כך שעבירות אלו הן בבחינת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הצורך בהחמרת הענישה בעניינן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240" w:before="0" w:after="0"/>
        <w:ind w:start="1440" w:end="567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החזקת נשק שלא כדין מאיימת על שלום הציבור ובטחונו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לנוכח היקפן המתרחב של עבירות המבוצעות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הזמינות הבלתי נסבלת של נשק בידי מי שאינו מורשה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FrankRuehl" w:ascii="FrankRuehl" w:hAnsi="FrankRuehl"/>
          <w:sz w:val="28"/>
          <w:szCs w:val="28"/>
          <w:rtl w:val="true"/>
        </w:rPr>
        <w:t xml:space="preserve">[...]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לאסונות נוראיים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יעידו על כך ריבוי המקרים במגזר הערבי בעת האחרונה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מבצרם או בגן השעשועים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זאת כתוצאה משימוש בנשק של 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מציאות קשה זו מחייבת לנקוט ביד מחמירה כלפי מעורבים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אף אם הם נעדרי עבר פלילי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ענייננו ב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 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שהצורך להילחם בה על מנת להגן על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מצריך מענה הולם והטלת עונשי מאסר משמעותיים </w:t>
      </w:r>
      <w:r>
        <w:rPr>
          <w:rFonts w:cs="FrankRuehl" w:ascii="FrankRuehl" w:hAnsi="FrankRuehl"/>
          <w:sz w:val="28"/>
          <w:szCs w:val="28"/>
          <w:rtl w:val="true"/>
        </w:rPr>
        <w:t xml:space="preserve">[...].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ידע כל מי שמחזיק בנשק בלתי חוקי כי צפוי הוא להיענש בחומרה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בבחינת 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 מחזיקים – למאסר נשלחים</w:t>
      </w:r>
      <w:r>
        <w:rPr>
          <w:rFonts w:cs="FrankRuehl" w:ascii="FrankRuehl" w:hAnsi="FrankRuehl"/>
          <w:sz w:val="28"/>
          <w:szCs w:val="28"/>
          <w:rtl w:val="true"/>
        </w:rPr>
        <w:t>'"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עניין קדורה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)"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494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נזכיר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 שלצד העבירה בה הורשע הנאשם הוא עד שבע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הצדדים הזכירו בטיעוניהם לעונש את תיקון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ב</w:t>
      </w:r>
      <w:hyperlink r:id="rId35">
        <w:r>
          <w:rPr>
            <w:rStyle w:val="Hyperlink"/>
            <w:rFonts w:ascii="Miriam" w:hAnsi="Miriam" w:cs="Miriam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קובע רף מזערי של רבע מהעונש שלצד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מחלוקת כי הוראה זו אינה חלה בעניינו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תכלית ההוראה עולה בקנה אחד עם מגמת ההחמרה בענישה בעבירות נשק נוכח תופעת האלימות הקשה תוך שימוש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הגואה בחברה הישראלית בכלל ומכּה קשות בחברה הערבית בפרט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יפות כאן מילותיו של כבוד השופט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סולברג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7831/21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עסליה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24.4.2022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Miriam" w:hAnsi="Miriam" w:cs="Miriam"/>
          <w:sz w:val="24"/>
          <w:sz w:val="24"/>
          <w:szCs w:val="24"/>
          <w:rtl w:val="true"/>
        </w:rPr>
        <w:t>אין זאת אלא מן הפירות הבאושים של מצבורי הנשק במגזר הערבי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ושאר עבירות הנשק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והיד הקלה על ההדק</w:t>
      </w:r>
      <w:r>
        <w:rPr>
          <w:rFonts w:cs="Miriam" w:ascii="Miriam" w:hAnsi="Miriam"/>
          <w:sz w:val="24"/>
          <w:szCs w:val="24"/>
          <w:rtl w:val="true"/>
        </w:rPr>
        <w:t xml:space="preserve">; </w:t>
      </w:r>
      <w:r>
        <w:rPr>
          <w:rFonts w:ascii="Miriam" w:hAnsi="Miriam" w:cs="Miriam"/>
          <w:sz w:val="24"/>
          <w:sz w:val="24"/>
          <w:szCs w:val="24"/>
          <w:rtl w:val="true"/>
        </w:rPr>
        <w:t>רעה חולה זו מחייבת ענישה הולמת</w:t>
      </w:r>
      <w:r>
        <w:rPr>
          <w:rFonts w:cs="FrankRuehl" w:ascii="FrankRuehl" w:hAnsi="FrankRuehl"/>
          <w:sz w:val="28"/>
          <w:szCs w:val="28"/>
          <w:rtl w:val="true"/>
        </w:rPr>
        <w:t>"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 גם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166/22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טאהא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1.6.2022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2733/20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אבו זיאד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24.10.2021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לקביעת מתחם הענישה ההולם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נתתי את דעתי לפסיקה הרלבנטית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היתר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מתן דגש </w:t>
      </w:r>
      <w:r>
        <w:rPr>
          <w:rFonts w:ascii="Miriam" w:hAnsi="Miriam" w:cs="Miriam"/>
          <w:sz w:val="24"/>
          <w:sz w:val="24"/>
          <w:szCs w:val="24"/>
          <w:rtl w:val="true"/>
        </w:rPr>
        <w:t>לסוג 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שנתפס עם התחמושת המתאימה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רלבנטיות האבחנה בין סוגי הנשק לקביעת המתחם – 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1323/13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חסן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5.6.2013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ראו והשוו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כמובן עם השינויים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המחוייבים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סדר ערכאה ופרסום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2165/23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בלאל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4.5.2023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4077/22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28.7.2022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166/22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טאהא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1.6.2022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1695/22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גנאים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29.3.2022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8320/21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בסילה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28.12.2021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8678/19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אבו כף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5.3.2020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עפ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ג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נצ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')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2024-04-21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מנדורי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29.6.2021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ג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מחוזי מר</w:t>
      </w:r>
      <w:r>
        <w:rPr>
          <w:rFonts w:cs="FrankRuehl" w:ascii="FrankRuehl" w:hAnsi="FrankRuehl"/>
          <w:sz w:val="28"/>
          <w:szCs w:val="28"/>
          <w:rtl w:val="true"/>
        </w:rPr>
        <w:t xml:space="preserve">') </w:t>
      </w:r>
      <w:r>
        <w:rPr>
          <w:rFonts w:cs="FrankRuehl" w:ascii="FrankRuehl" w:hAnsi="FrankRuehl"/>
          <w:sz w:val="28"/>
          <w:szCs w:val="28"/>
        </w:rPr>
        <w:t>10916-12-21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אבו אלחסאן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7.2.2022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מחוזי 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54607-07-19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ג</w:t>
      </w:r>
      <w:r>
        <w:rPr>
          <w:rFonts w:cs="Miriam" w:ascii="Miriam" w:hAnsi="Miriam"/>
          <w:sz w:val="24"/>
          <w:szCs w:val="24"/>
          <w:rtl w:val="true"/>
        </w:rPr>
        <w:t>'</w:t>
      </w:r>
      <w:r>
        <w:rPr>
          <w:rFonts w:ascii="Miriam" w:hAnsi="Miriam" w:cs="Miriam"/>
          <w:sz w:val="24"/>
          <w:sz w:val="24"/>
          <w:szCs w:val="24"/>
          <w:rtl w:val="true"/>
        </w:rPr>
        <w:t>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12.1.2020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17030-02-22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מקיה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23.5.2023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4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22297-11-20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עובייד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27.4.2021</w:t>
      </w:r>
      <w:r>
        <w:rPr>
          <w:rFonts w:cs="FrankRuehl" w:ascii="FrankRuehl" w:hAnsi="FrankRuehl"/>
          <w:sz w:val="28"/>
          <w:szCs w:val="28"/>
          <w:rtl w:val="true"/>
        </w:rPr>
        <w:t>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57" w:start="1077" w:end="0"/>
        <w:contextualSpacing/>
        <w:jc w:val="both"/>
        <w:rPr>
          <w:rFonts w:ascii="FrankRuehl" w:hAnsi="FrankRuehl" w:cs="FrankRuehl"/>
          <w:sz w:val="28"/>
          <w:szCs w:val="28"/>
        </w:rPr>
      </w:pPr>
      <w:hyperlink r:id="rId5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שלום 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23707-03-19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עתאיקה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28.7.2020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לאחר שנתתי את דעתי לכל האמור 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קובע בזאת כי מתחם הענישה ההולמת ביחס לעבירה מושא האישום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נע בין </w:t>
      </w:r>
      <w:r>
        <w:rPr>
          <w:rFonts w:cs="Miriam" w:ascii="Miriam" w:hAnsi="Miriam"/>
          <w:sz w:val="24"/>
          <w:szCs w:val="24"/>
        </w:rPr>
        <w:t>22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חודשי מאסר בפועל עד </w:t>
      </w:r>
      <w:r>
        <w:rPr>
          <w:rFonts w:cs="Miriam" w:ascii="Miriam" w:hAnsi="Miriam"/>
          <w:sz w:val="24"/>
          <w:szCs w:val="24"/>
        </w:rPr>
        <w:t>50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חודשי מאסר בפועל</w:t>
      </w:r>
      <w:r>
        <w:rPr>
          <w:rFonts w:cs="Miriam" w:ascii="Miriam" w:hAnsi="Miriam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Miriam" w:hAnsi="Miriam" w:cs="Miriam"/>
          <w:sz w:val="24"/>
          <w:sz w:val="24"/>
          <w:szCs w:val="24"/>
          <w:rtl w:val="true"/>
        </w:rPr>
        <w:t>נסיבות שאינן 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בן </w:t>
      </w:r>
      <w:r>
        <w:rPr>
          <w:rFonts w:cs="FrankRuehl" w:ascii="FrankRuehl" w:hAnsi="FrankRuehl"/>
          <w:sz w:val="28"/>
          <w:szCs w:val="28"/>
        </w:rPr>
        <w:t>43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 משפחה ועובד לפרנסתו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בעל מוסך שמעסיק גם עובדים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תיאר כי הוא מממן לימודים אקדמיים לילדיו הבוגרים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ויש לו גם ילדים 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נתתי את דעתי לנסיבות אלו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נתתי את דעתי לכך שהוא מפרנס גם את משפחתו הגדולה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שכל עונש שיושת עליו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 במאסר בין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עלול לפגוע בפרנסת המשפחה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בנדון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נתתי את דעתי גם לכך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לאחר עיון בתיק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לתקופת המעצר של הנאשם מאחורי סורג ובריח במסגרת הליך זה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כחודש וחצי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ולאחר מכן – תקופת מעצר הבית מאז שחרורו ממעצר ועד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במהלך אותה תקופה חלו הקלות בתנאים המגבילים ביניהן היתר לצאת לעבודה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בשום שלב בהליך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גם בטיעונים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עצמו לא נטל 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 ספק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זכותו של הנאשם לנהל את ההליך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להוכיח את חפותו וגם להמשיך להאמין בה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הוכחה אשמתו ואין הוא זכאי להקלה בעונשו מטעם של נטילת 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עוד בנדון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כעולה מראיות המאשימה לעונש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תדפיס הרישום הפלילי של הנאשם – מא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 יש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הורשע בחודש </w:t>
      </w:r>
      <w:r>
        <w:rPr>
          <w:rFonts w:cs="FrankRuehl" w:ascii="FrankRuehl" w:hAnsi="FrankRuehl"/>
          <w:sz w:val="28"/>
          <w:szCs w:val="28"/>
        </w:rPr>
        <w:t>12/2019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בשימוש ברכב ללא הרשות ונטישה באותו מקום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בהליך האמור הושת עליו מאסר מותנה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בחודש </w:t>
      </w:r>
      <w:r>
        <w:rPr>
          <w:rFonts w:cs="FrankRuehl" w:ascii="FrankRuehl" w:hAnsi="FrankRuehl"/>
          <w:sz w:val="28"/>
          <w:szCs w:val="28"/>
        </w:rPr>
        <w:t>12/2008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הורשע בהפרעה לשוטר במילוי תפקידו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ואז הסתיים ההליך ללא הרשעה תוך ביצוע שעות לתועלת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עולה מראיות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לנאשם רשומות למעלה מ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הרשעות תעבורה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האחרונות שביניהן היו בשנים </w:t>
      </w:r>
      <w:r>
        <w:rPr>
          <w:rFonts w:cs="FrankRuehl" w:ascii="FrankRuehl" w:hAnsi="FrankRuehl"/>
          <w:sz w:val="28"/>
          <w:szCs w:val="28"/>
        </w:rPr>
        <w:t>2015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2014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2013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נכון הדבר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עברו הפלילי של הנאשם אינו רלבנטי לעבירות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מסת ההרשעות העולה מרישומו הפלילי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בה להצביע על קושי של ממש אצל הנאשם בשמירה על הנורמה והחוק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למרות שבהליך הראשון נגדו בוטלה ההרשעה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וזה שלאחריו הושת עליו רק מאסר מותנה – חרף נורות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האזהרה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הללו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ביצע את אשר ביצע 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והדבר בא לידי ביטוי בהרשעתו הנוכחית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שהיא החמורה מבין כל ההרשעות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אלא להסיק כי מתחייבת בנסיבות העניין ענישה שתיתן ביטוי לפן ההרתעתי יותר מאשר הפן השיקומי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ואשר גם מתחייבת מהפסיקה העקבית של בית המשפט העליון בדבר הצורך בהחמרת ענישה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בשקלול של כל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ולאחר מתן הדעת לנסיבות האישיות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סביר בעיניי למקֵם את עונשו </w:t>
      </w:r>
      <w:r>
        <w:rPr>
          <w:rFonts w:ascii="Miriam" w:hAnsi="Miriam" w:cs="Miriam"/>
          <w:sz w:val="24"/>
          <w:sz w:val="24"/>
          <w:szCs w:val="24"/>
          <w:rtl w:val="true"/>
        </w:rPr>
        <w:t>בתוך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השליש התחתון של המתחם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u w:val="single"/>
        </w:rPr>
      </w:pPr>
      <w:r>
        <w:rPr>
          <w:rFonts w:ascii="Miriam" w:hAnsi="Miriam" w:cs="Miriam"/>
          <w:u w:val="single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  <w:u w:val="single"/>
        </w:rPr>
      </w:pPr>
      <w:r>
        <w:rPr>
          <w:rFonts w:cs="FrankRuehl" w:ascii="FrankRuehl" w:hAnsi="FrankRuehl"/>
          <w:sz w:val="20"/>
          <w:szCs w:val="20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425" w:start="509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לאור 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משית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510" w:start="123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עשרים וחמישה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לריצוי ממש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מתקופה זו ינוכו ימי מעצרו של הנאשם מאחורי סורג ובריח במסגרת הליך זה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 לפי נתוני שירות בתי הסוהר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תחילת ריצוי העונש </w:t>
      </w:r>
      <w:r>
        <w:rPr>
          <w:rFonts w:cs="FrankRuehl" w:ascii="FrankRuehl" w:hAnsi="FrankRuehl"/>
          <w:sz w:val="28"/>
          <w:szCs w:val="28"/>
          <w:u w:val="single"/>
        </w:rPr>
        <w:t>7.9.2023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0"/>
        <w:ind w:hanging="510" w:start="123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חמישה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שירוצו ככל שהנאשם יעבור עבירת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 העבירה שבה הוא 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שלוש שנים מיום סיום ריצוי עונש המאסר 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  <w:lang w:eastAsia="he-IL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יתייצב לריצוי עונשו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  <w:u w:val="single"/>
        </w:rPr>
        <w:t>7.9.2023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בשעה </w:t>
      </w:r>
      <w:r>
        <w:rPr>
          <w:rFonts w:cs="FrankRuehl" w:ascii="FrankRuehl" w:hAnsi="FrankRuehl"/>
          <w:sz w:val="28"/>
          <w:szCs w:val="28"/>
          <w:u w:val="single"/>
        </w:rPr>
        <w:t>10:00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יתאם את כניסתו למאסר עם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ענף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אבחון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ומיון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בתי הסוהר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פקס </w:t>
      </w:r>
      <w:r>
        <w:rPr>
          <w:rFonts w:cs="FrankRuehl" w:ascii="FrankRuehl" w:hAnsi="FrankRuehl"/>
          <w:sz w:val="28"/>
          <w:szCs w:val="28"/>
          <w:lang w:eastAsia="he-IL"/>
        </w:rPr>
        <w:t>08-9193314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דואר אלקטרוני </w:t>
      </w:r>
      <w:r>
        <w:rPr>
          <w:rFonts w:cs="FrankRuehl" w:ascii="FrankRuehl" w:hAnsi="FrankRuehl"/>
          <w:sz w:val="24"/>
          <w:szCs w:val="24"/>
          <w:lang w:eastAsia="he-IL"/>
        </w:rPr>
        <w:t>MaasarN@ips.gov.il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טלפון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: </w:t>
      </w:r>
      <w:r>
        <w:rPr>
          <w:rFonts w:cs="FrankRuehl" w:ascii="FrankRuehl" w:hAnsi="FrankRuehl"/>
          <w:sz w:val="28"/>
          <w:szCs w:val="28"/>
          <w:lang w:eastAsia="he-IL"/>
        </w:rPr>
        <w:t>074-7831077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 xml:space="preserve">או </w:t>
      </w:r>
      <w:r>
        <w:rPr>
          <w:rFonts w:cs="FrankRuehl" w:ascii="FrankRuehl" w:hAnsi="FrankRuehl"/>
          <w:sz w:val="28"/>
          <w:szCs w:val="28"/>
          <w:lang w:eastAsia="he-IL"/>
        </w:rPr>
        <w:t>074-7831078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ככל שלא יקבל הנאשם הנחיה אחרת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  <w:lang w:eastAsia="he-IL"/>
        </w:rPr>
        <w:t>עליו להתייצב במועד המוזכר במתקן המעצר בכלא ניצן ברמלה עם תעודה מזהה והעתק של גזר הדין</w:t>
      </w:r>
      <w:r>
        <w:rPr>
          <w:rFonts w:cs="FrankRuehl" w:ascii="FrankRuehl" w:hAnsi="FrankRuehl"/>
          <w:sz w:val="28"/>
          <w:szCs w:val="28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  <w:lang w:eastAsia="he-IL"/>
        </w:rPr>
      </w:pPr>
      <w:r>
        <w:rPr>
          <w:rFonts w:cs="FrankRuehl" w:ascii="FrankRuehl" w:hAnsi="FrankRuehl"/>
          <w:sz w:val="20"/>
          <w:szCs w:val="20"/>
          <w:rtl w:val="true"/>
          <w:lang w:eastAsia="he-IL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636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ניתן בזאת צו חילוט או השמדה של הנשק והתחמושת שנתפסו במסגרת החקירה מושא הליך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לפי שיקול דעת של הקצין המוסמך לכך לפי דין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0"/>
          <w:szCs w:val="20"/>
        </w:rPr>
      </w:pPr>
      <w:r>
        <w:rPr>
          <w:rFonts w:cs="FrankRuehl" w:ascii="FrankRuehl" w:hAnsi="FrankRuehl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המחוזי בירושלים 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FrankRuehl" w:ascii="FrankRuehl" w:hAnsi="FrankRuehl"/>
          <w:color w:val="FFFFFF"/>
          <w:sz w:val="2"/>
          <w:szCs w:val="2"/>
          <w:u w:val="single"/>
        </w:rPr>
        <w:t>54678313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המזכירות – להודיע לשב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ס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5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5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מוחמד חאג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יחיא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33420-12-20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אשרף בשיתי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0"/>
        </w:tabs>
        <w:ind w:start="720" w:hanging="360"/>
      </w:pPr>
      <w:rPr>
        <w:sz w:val="26"/>
        <w:b w:val="false"/>
        <w:szCs w:val="26"/>
        <w:bCs w:val="false"/>
        <w:rFonts w:ascii="FrankRuehl" w:hAnsi="FrankRuehl" w:cs="FrankRuehl"/>
        <w:lang w:bidi="he-IL"/>
      </w:rPr>
    </w:lvl>
  </w:abstractNum>
  <w:abstractNum w:abstractNumId="3">
    <w:lvl w:ilvl="0">
      <w:start w:val="1"/>
      <w:numFmt w:val="decimal"/>
      <w:lvlText w:val="%1)"/>
      <w:lvlJc w:val="end"/>
      <w:pPr>
        <w:tabs>
          <w:tab w:val="num" w:pos="0"/>
        </w:tabs>
        <w:ind w:start="720" w:hanging="360"/>
      </w:pPr>
      <w:rPr>
        <w:sz w:val="26"/>
        <w:b w:val="false"/>
        <w:szCs w:val="26"/>
        <w:bCs w:val="false"/>
        <w:rFonts w:ascii="FrankRuehl" w:hAnsi="FrankRuehl" w:cs="FrankRuehl"/>
        <w:lang w:bidi="he-IL"/>
      </w:rPr>
    </w:lvl>
  </w:abstractNum>
  <w:abstractNum w:abstractNumId="4">
    <w:lvl w:ilvl="0">
      <w:start w:val="1"/>
      <w:numFmt w:val="hebrew1"/>
      <w:lvlText w:val="%1)"/>
      <w:lvlJc w:val="end"/>
      <w:pPr>
        <w:tabs>
          <w:tab w:val="num" w:pos="0"/>
        </w:tabs>
        <w:ind w:start="1230" w:hanging="51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eastAsia="Calibri" w:cs="FrankRueh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FrankRuehl" w:hAnsi="FrankRuehl" w:cs="FrankRuehl"/>
      <w:b w:val="false"/>
      <w:bCs w:val="false"/>
      <w:sz w:val="26"/>
      <w:szCs w:val="26"/>
      <w:lang w:bidi="he-I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40c.b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70301/40c.b" TargetMode="External"/><Relationship Id="rId15" Type="http://schemas.openxmlformats.org/officeDocument/2006/relationships/hyperlink" Target="http://www.nevo.co.il/case/7791493" TargetMode="External"/><Relationship Id="rId16" Type="http://schemas.openxmlformats.org/officeDocument/2006/relationships/hyperlink" Target="http://www.nevo.co.il/case/6473037" TargetMode="External"/><Relationship Id="rId17" Type="http://schemas.openxmlformats.org/officeDocument/2006/relationships/hyperlink" Target="http://www.nevo.co.il/case/6950458" TargetMode="External"/><Relationship Id="rId18" Type="http://schemas.openxmlformats.org/officeDocument/2006/relationships/hyperlink" Target="http://www.nevo.co.il/case/21474168" TargetMode="External"/><Relationship Id="rId19" Type="http://schemas.openxmlformats.org/officeDocument/2006/relationships/hyperlink" Target="http://www.nevo.co.il/case/5995135" TargetMode="External"/><Relationship Id="rId20" Type="http://schemas.openxmlformats.org/officeDocument/2006/relationships/hyperlink" Target="http://www.nevo.co.il/case/5950172" TargetMode="External"/><Relationship Id="rId21" Type="http://schemas.openxmlformats.org/officeDocument/2006/relationships/hyperlink" Target="http://www.nevo.co.il/case/5568354" TargetMode="External"/><Relationship Id="rId22" Type="http://schemas.openxmlformats.org/officeDocument/2006/relationships/hyperlink" Target="http://www.nevo.co.il/case/27513376" TargetMode="External"/><Relationship Id="rId23" Type="http://schemas.openxmlformats.org/officeDocument/2006/relationships/hyperlink" Target="http://www.nevo.co.il/case/28883087" TargetMode="External"/><Relationship Id="rId24" Type="http://schemas.openxmlformats.org/officeDocument/2006/relationships/hyperlink" Target="http://www.nevo.co.il/case/27309272" TargetMode="External"/><Relationship Id="rId25" Type="http://schemas.openxmlformats.org/officeDocument/2006/relationships/hyperlink" Target="http://www.nevo.co.il/case/29486731" TargetMode="External"/><Relationship Id="rId26" Type="http://schemas.openxmlformats.org/officeDocument/2006/relationships/hyperlink" Target="http://www.nevo.co.il/case/28697227" TargetMode="External"/><Relationship Id="rId27" Type="http://schemas.openxmlformats.org/officeDocument/2006/relationships/hyperlink" Target="http://www.nevo.co.il/case/27510949" TargetMode="External"/><Relationship Id="rId28" Type="http://schemas.openxmlformats.org/officeDocument/2006/relationships/hyperlink" Target="http://www.nevo.co.il/case/28513828" TargetMode="External"/><Relationship Id="rId29" Type="http://schemas.openxmlformats.org/officeDocument/2006/relationships/hyperlink" Target="http://www.nevo.co.il/case/28243273" TargetMode="External"/><Relationship Id="rId30" Type="http://schemas.openxmlformats.org/officeDocument/2006/relationships/hyperlink" Target="http://www.nevo.co.il/case/28384637" TargetMode="External"/><Relationship Id="rId31" Type="http://schemas.openxmlformats.org/officeDocument/2006/relationships/hyperlink" Target="http://www.nevo.co.il/case/26905927" TargetMode="External"/><Relationship Id="rId32" Type="http://schemas.openxmlformats.org/officeDocument/2006/relationships/hyperlink" Target="http://www.nevo.co.il/case/25824863" TargetMode="External"/><Relationship Id="rId33" Type="http://schemas.openxmlformats.org/officeDocument/2006/relationships/hyperlink" Target="http://www.nevo.co.il/case/27171364" TargetMode="External"/><Relationship Id="rId34" Type="http://schemas.openxmlformats.org/officeDocument/2006/relationships/hyperlink" Target="http://www.nevo.co.il/case/22006503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28096677" TargetMode="External"/><Relationship Id="rId37" Type="http://schemas.openxmlformats.org/officeDocument/2006/relationships/hyperlink" Target="http://www.nevo.co.il/case/28229995" TargetMode="External"/><Relationship Id="rId38" Type="http://schemas.openxmlformats.org/officeDocument/2006/relationships/hyperlink" Target="http://www.nevo.co.il/case/26630169" TargetMode="External"/><Relationship Id="rId39" Type="http://schemas.openxmlformats.org/officeDocument/2006/relationships/hyperlink" Target="http://www.nevo.co.il/case/6473037" TargetMode="External"/><Relationship Id="rId40" Type="http://schemas.openxmlformats.org/officeDocument/2006/relationships/hyperlink" Target="http://www.nevo.co.il/case/29486731" TargetMode="External"/><Relationship Id="rId41" Type="http://schemas.openxmlformats.org/officeDocument/2006/relationships/hyperlink" Target="http://www.nevo.co.il/case/28697227" TargetMode="External"/><Relationship Id="rId42" Type="http://schemas.openxmlformats.org/officeDocument/2006/relationships/hyperlink" Target="http://www.nevo.co.il/case/28229995" TargetMode="External"/><Relationship Id="rId43" Type="http://schemas.openxmlformats.org/officeDocument/2006/relationships/hyperlink" Target="http://www.nevo.co.il/case/28384637" TargetMode="External"/><Relationship Id="rId44" Type="http://schemas.openxmlformats.org/officeDocument/2006/relationships/hyperlink" Target="http://www.nevo.co.il/case/28152132" TargetMode="External"/><Relationship Id="rId45" Type="http://schemas.openxmlformats.org/officeDocument/2006/relationships/hyperlink" Target="http://www.nevo.co.il/case/26318034" TargetMode="External"/><Relationship Id="rId46" Type="http://schemas.openxmlformats.org/officeDocument/2006/relationships/hyperlink" Target="http://www.nevo.co.il/case/27510949" TargetMode="External"/><Relationship Id="rId47" Type="http://schemas.openxmlformats.org/officeDocument/2006/relationships/hyperlink" Target="http://www.nevo.co.il/case/25890687" TargetMode="External"/><Relationship Id="rId48" Type="http://schemas.openxmlformats.org/officeDocument/2006/relationships/hyperlink" Target="http://www.nevo.co.il/case/28301477" TargetMode="External"/><Relationship Id="rId49" Type="http://schemas.openxmlformats.org/officeDocument/2006/relationships/hyperlink" Target="http://www.nevo.co.il/case/27142643" TargetMode="External"/><Relationship Id="rId50" Type="http://schemas.openxmlformats.org/officeDocument/2006/relationships/hyperlink" Target="http://www.nevo.co.il/case/25526664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2024-07-30T10:46:00Z</dcterms:created>
  <dc:creator> </dc:creator>
  <dc:description/>
  <cp:keywords/>
  <dc:language>en-IL</dc:language>
  <cp:lastModifiedBy>h1</cp:lastModifiedBy>
  <dcterms:modified xsi:type="dcterms:W3CDTF">2024-07-30T10:46:00Z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אשרף בשיתי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7791493;6950458;21474168;5995135;5950172;5568354;27513376;28883087;27309272;29486731:2;28697227:2;27510949:2;28513828;28243273;28384637:2;26905927;25824863;27171364;22006503;28096677;28229995:2;26630169;6473037;28152132;26318034;25890687;28301477</vt:lpwstr>
  </property>
  <property fmtid="{D5CDD505-2E9C-101B-9397-08002B2CF9AE}" pid="9" name="CASESLISTTMP2">
    <vt:lpwstr>27142643;25526664</vt:lpwstr>
  </property>
  <property fmtid="{D5CDD505-2E9C-101B-9397-08002B2CF9AE}" pid="10" name="CITY">
    <vt:lpwstr>י-ם</vt:lpwstr>
  </property>
  <property fmtid="{D5CDD505-2E9C-101B-9397-08002B2CF9AE}" pid="11" name="DATE">
    <vt:lpwstr>20230706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מוחמד חאג' יחיא</vt:lpwstr>
  </property>
  <property fmtid="{D5CDD505-2E9C-101B-9397-08002B2CF9AE}" pid="15" name="LAWLISTTMP1">
    <vt:lpwstr>70301/144.a;040b;040c.a;040c.b</vt:lpwstr>
  </property>
  <property fmtid="{D5CDD505-2E9C-101B-9397-08002B2CF9AE}" pid="16" name="LAWYER">
    <vt:lpwstr>לירון עופר;נביל זינאתי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33420</vt:lpwstr>
  </property>
  <property fmtid="{D5CDD505-2E9C-101B-9397-08002B2CF9AE}" pid="23" name="NEWPARTB">
    <vt:lpwstr>12</vt:lpwstr>
  </property>
  <property fmtid="{D5CDD505-2E9C-101B-9397-08002B2CF9AE}" pid="24" name="NEWPARTC">
    <vt:lpwstr>20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380020230706</vt:lpwstr>
  </property>
  <property fmtid="{D5CDD505-2E9C-101B-9397-08002B2CF9AE}" pid="35" name="TYPE_N_DATE">
    <vt:lpwstr>38020230706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