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33435-03-11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חמדאן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33455-03-11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גיליה רביד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83" w:type="dxa"/>
            <w:tcBorders/>
          </w:tcPr>
          <w:p>
            <w:pPr>
              <w:pStyle w:val="Normal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כארם חמדאן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both"/>
        <w:rPr>
          <w:u w:val="none"/>
        </w:rPr>
      </w:pP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המאשימה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טרכטנברג</w:t>
      </w:r>
    </w:p>
    <w:p>
      <w:pPr>
        <w:pStyle w:val="12"/>
        <w:spacing w:lineRule="auto" w:line="360"/>
        <w:ind w:end="0"/>
        <w:jc w:val="both"/>
        <w:rPr>
          <w:u w:val="none"/>
        </w:rPr>
      </w:pPr>
      <w:r>
        <w:rPr>
          <w:u w:val="none"/>
          <w:rtl w:val="true"/>
        </w:rPr>
        <w:t>הנאשם הובא על</w:t>
      </w:r>
      <w:r>
        <w:rPr>
          <w:u w:val="none"/>
          <w:rtl w:val="true"/>
        </w:rPr>
        <w:t>-</w:t>
      </w:r>
      <w:r>
        <w:rPr>
          <w:u w:val="none"/>
          <w:rtl w:val="true"/>
        </w:rPr>
        <w:t>ידי שב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ס</w:t>
      </w:r>
    </w:p>
    <w:p>
      <w:pPr>
        <w:pStyle w:val="12"/>
        <w:spacing w:lineRule="auto" w:line="360"/>
        <w:ind w:end="0"/>
        <w:jc w:val="both"/>
        <w:rPr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כ הנאשם </w:t>
      </w:r>
      <w:r>
        <w:rPr>
          <w:u w:val="none"/>
          <w:rtl w:val="true"/>
        </w:rPr>
        <w:t>–</w:t>
      </w:r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שרון קינן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none"/>
        </w:rPr>
      </w:pPr>
      <w:r>
        <w:rPr>
          <w:rFonts w:eastAsia="David"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הנאשם הורשע על פי הודאתו בעבירות של 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r>
        <w:rPr>
          <w:rtl w:val="true"/>
        </w:rPr>
        <w:t>סיפא 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החזקת אביזר נשק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 הנ</w:t>
      </w:r>
      <w:r>
        <w:rPr>
          <w:rtl w:val="true"/>
        </w:rPr>
        <w:t>"</w:t>
      </w:r>
      <w:r>
        <w:rPr>
          <w:rtl w:val="true"/>
        </w:rPr>
        <w:t>ל והפרעה לשוטר במילוי תפקידו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>לחוק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 xml:space="preserve">מדובר באירוע מיום </w:t>
      </w:r>
      <w:r>
        <w:rPr/>
        <w:t>14/3/2011</w:t>
      </w:r>
      <w:r>
        <w:rPr>
          <w:rtl w:val="true"/>
        </w:rPr>
        <w:t xml:space="preserve">, </w:t>
      </w:r>
      <w:r>
        <w:rPr>
          <w:rtl w:val="true"/>
        </w:rPr>
        <w:t xml:space="preserve">שבמהלכו החזיק הנאשם ברשותו אקדח מסוג </w:t>
      </w:r>
      <w:r>
        <w:rPr>
          <w:rtl w:val="true"/>
        </w:rPr>
        <w:t>"</w:t>
      </w:r>
      <w:r>
        <w:rPr>
          <w:rtl w:val="true"/>
        </w:rPr>
        <w:t>זיגזאור</w:t>
      </w:r>
      <w:r>
        <w:rPr>
          <w:rtl w:val="true"/>
        </w:rPr>
        <w:t xml:space="preserve">" </w:t>
      </w:r>
      <w:r>
        <w:rPr>
          <w:rtl w:val="true"/>
        </w:rPr>
        <w:t>ותחמושת לאקדח זה</w:t>
      </w:r>
      <w:r>
        <w:rPr>
          <w:rtl w:val="true"/>
        </w:rPr>
        <w:t xml:space="preserve">, </w:t>
      </w:r>
      <w:r>
        <w:rPr>
          <w:rtl w:val="true"/>
        </w:rPr>
        <w:t>ללא היתר כדין</w:t>
      </w:r>
      <w:r>
        <w:rPr>
          <w:rtl w:val="true"/>
        </w:rPr>
        <w:t xml:space="preserve">. </w:t>
      </w:r>
      <w:r>
        <w:rPr>
          <w:rtl w:val="true"/>
        </w:rPr>
        <w:t xml:space="preserve">מדובר באקדח שנגנב בהתפרצות שאירעה לביתו של בעליו בחודש יולי </w:t>
      </w:r>
      <w:r>
        <w:rPr/>
        <w:t>2004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לנאשם הרשעות קודמות כמפורט בת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חלקן ללא הרשעה</w:t>
      </w:r>
      <w:r>
        <w:rPr>
          <w:rtl w:val="true"/>
        </w:rPr>
        <w:t xml:space="preserve">, </w:t>
      </w:r>
      <w:r>
        <w:rPr>
          <w:rtl w:val="true"/>
        </w:rPr>
        <w:t>וזאת בגין עבירות רכוש ואלימות</w:t>
      </w:r>
      <w:r>
        <w:rPr>
          <w:rtl w:val="true"/>
        </w:rPr>
        <w:t xml:space="preserve">, </w:t>
      </w:r>
      <w:r>
        <w:rPr>
          <w:rtl w:val="true"/>
        </w:rPr>
        <w:t>לרבות הפרעה לשוטר במילוי תפקידו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הנאשם הודה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שעל פיו עותרים הצדדים להטיל עליו עונש מאסר בפועל 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 החל מיום מעצרו</w:t>
      </w:r>
      <w:r>
        <w:rPr>
          <w:rtl w:val="true"/>
        </w:rPr>
        <w:t xml:space="preserve">, </w:t>
      </w:r>
      <w:r>
        <w:rPr>
          <w:rtl w:val="true"/>
        </w:rPr>
        <w:t>וכן מאסר על תנאי וקנס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בנימוקים להסדר הטיעון הסביר ב</w:t>
      </w:r>
      <w:r>
        <w:rPr>
          <w:rtl w:val="true"/>
        </w:rPr>
        <w:t>"</w:t>
      </w:r>
      <w:r>
        <w:rPr>
          <w:rtl w:val="true"/>
        </w:rPr>
        <w:t>כ המאשימה כי מצד אחד נלקחה בחשבון חומרתה של העבירה והצורך להרתיע מפני החזקת נשק שלא כדין</w:t>
      </w:r>
      <w:r>
        <w:rPr>
          <w:rtl w:val="true"/>
        </w:rPr>
        <w:t xml:space="preserve">, </w:t>
      </w:r>
      <w:r>
        <w:rPr>
          <w:rtl w:val="true"/>
        </w:rPr>
        <w:t>ומצד שני לא התעלמה המאשימה מהעובדה שזה לו מאסרו ראשון של הנאשם</w:t>
      </w:r>
      <w:r>
        <w:rPr>
          <w:rtl w:val="true"/>
        </w:rPr>
        <w:t xml:space="preserve">, </w:t>
      </w:r>
      <w:r>
        <w:rPr>
          <w:rtl w:val="true"/>
        </w:rPr>
        <w:t>מהנימוקים שפורטו בתסקיר וכן מהודאתו והחיסכון בזמן השיפוטי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עתר אף הוא לאמץ את הסדר הטיעון המוצע</w:t>
      </w:r>
      <w:r>
        <w:rPr>
          <w:rtl w:val="true"/>
        </w:rPr>
        <w:t xml:space="preserve">, </w:t>
      </w:r>
      <w:r>
        <w:rPr>
          <w:rtl w:val="true"/>
        </w:rPr>
        <w:t>וטען כי מדובר בבחור צעיר שנסיבות חייו לא היו קלות</w:t>
      </w:r>
      <w:r>
        <w:rPr>
          <w:rtl w:val="true"/>
        </w:rPr>
        <w:t xml:space="preserve">, </w:t>
      </w:r>
      <w:r>
        <w:rPr>
          <w:rtl w:val="true"/>
        </w:rPr>
        <w:t>כמשתקף בתסקיר שיפורט בהמשך</w:t>
      </w:r>
      <w:r>
        <w:rPr>
          <w:rtl w:val="true"/>
        </w:rPr>
        <w:t xml:space="preserve">, </w:t>
      </w:r>
      <w:r>
        <w:rPr>
          <w:rtl w:val="true"/>
        </w:rPr>
        <w:t>וכן עתר שלא להטיל על הנאשם קנס כבד לאור מצבו הכלכלי הלא שפיר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בעניינו של הנאשם התקבל תסקיר שירות המבחן</w:t>
      </w:r>
      <w:r>
        <w:rPr>
          <w:rtl w:val="true"/>
        </w:rPr>
        <w:t xml:space="preserve">, </w:t>
      </w:r>
      <w:r>
        <w:rPr>
          <w:rtl w:val="true"/>
        </w:rPr>
        <w:t>שבו פורטו נסיבותיו האישיות</w:t>
      </w:r>
      <w:r>
        <w:rPr>
          <w:rtl w:val="true"/>
        </w:rPr>
        <w:t xml:space="preserve">. </w:t>
      </w:r>
      <w:r>
        <w:rPr>
          <w:rtl w:val="true"/>
        </w:rPr>
        <w:t>קצינת המבחן ציינה כי ניכר אצל הנאשם קושי בשיתוף ובמתן מידע</w:t>
      </w:r>
      <w:r>
        <w:rPr>
          <w:rtl w:val="true"/>
        </w:rPr>
        <w:t xml:space="preserve">, </w:t>
      </w:r>
      <w:r>
        <w:rPr>
          <w:rtl w:val="true"/>
        </w:rPr>
        <w:t>ולו בסיסי אודותיו</w:t>
      </w:r>
      <w:r>
        <w:rPr>
          <w:rtl w:val="true"/>
        </w:rPr>
        <w:t xml:space="preserve">, </w:t>
      </w:r>
      <w:r>
        <w:rPr>
          <w:rtl w:val="true"/>
        </w:rPr>
        <w:t>כאשר ההתרשמות היא כי מוצאו ממערכת משפחתית מורכבת ובעייתית</w:t>
      </w:r>
      <w:r>
        <w:rPr>
          <w:rtl w:val="true"/>
        </w:rPr>
        <w:t xml:space="preserve">, </w:t>
      </w:r>
      <w:r>
        <w:rPr>
          <w:rtl w:val="true"/>
        </w:rPr>
        <w:t>ניכרה גם נטייה של הנאשם להשליך את האחריות למצבו על מוקדי שליטה חיצוניים</w:t>
      </w:r>
      <w:r>
        <w:rPr>
          <w:rtl w:val="true"/>
        </w:rPr>
        <w:t xml:space="preserve">, </w:t>
      </w:r>
      <w:r>
        <w:rPr>
          <w:rtl w:val="true"/>
        </w:rPr>
        <w:t>ובסופו של יום לא באה קצינת המבחן בהמלצה טיפולית כלשהי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אין צורך להכביר מילים לגבי חומרת העבירות שאותן ביצע הנאשם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יש הצדקה להרתיע אנשים הן מפני נשיאה והחזקה של נשק ותחמושת שלא כדין</w:t>
      </w:r>
      <w:r>
        <w:rPr>
          <w:rtl w:val="true"/>
        </w:rPr>
        <w:t xml:space="preserve">, </w:t>
      </w:r>
      <w:r>
        <w:rPr>
          <w:rtl w:val="true"/>
        </w:rPr>
        <w:t>ויש מקום להביע מסר עונשי ברור ותקיף בדמות מעשים אלה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 ניתן להתעלם ממכלול נסיבות המקרה כפי שפורט בדברי הצדדים ובתסקיר</w:t>
      </w:r>
      <w:r>
        <w:rPr>
          <w:rtl w:val="true"/>
        </w:rPr>
        <w:t xml:space="preserve">, </w:t>
      </w:r>
      <w:r>
        <w:rPr>
          <w:rtl w:val="true"/>
        </w:rPr>
        <w:t>ולכן במכלול השיקולים הגעתי למסקנה לאשר את הסדר הטיעון המוצע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סיכומו של דבר לאור האמור לעיל</w:t>
      </w:r>
      <w:r>
        <w:rPr>
          <w:rtl w:val="true"/>
        </w:rPr>
        <w:t xml:space="preserve">, </w:t>
      </w:r>
      <w:r>
        <w:rPr>
          <w:rtl w:val="true"/>
        </w:rPr>
        <w:t>אני מטילה על הנאשם את העונשים הבאים</w:t>
      </w:r>
      <w:r>
        <w:rPr>
          <w:rtl w:val="true"/>
        </w:rPr>
        <w:t>:</w:t>
      </w:r>
    </w:p>
    <w:p>
      <w:pPr>
        <w:pStyle w:val="Normal"/>
        <w:overflowPunct w:val="false"/>
        <w:autoSpaceDE w:val="false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מאסר בפועל למשך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החל מיום מעצרו של הנאשם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14/3/2011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מאסר עלֿֿתנאי למשך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והתנאי הוא שהנאשם לא יעבור עבירות לפי סעיפים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למשך שלוש שנים מיום שחרורו מהמאסר</w:t>
      </w:r>
      <w:r>
        <w:rPr>
          <w:rtl w:val="true"/>
        </w:rPr>
        <w:t xml:space="preserve">.  </w:t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מאסר עלֿֿתנאי למשך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 הוא שהנאשם לא יעבור עבירה  של הפרעה לשוטר במילוי תפקידו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275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למשך שלוש שנים מיום שחרורו מהמאסר</w:t>
      </w:r>
      <w:r>
        <w:rPr>
          <w:rtl w:val="true"/>
        </w:rPr>
        <w:t xml:space="preserve">.  </w:t>
      </w:r>
    </w:p>
    <w:p>
      <w:pPr>
        <w:pStyle w:val="Normal"/>
        <w:overflowPunct w:val="false"/>
        <w:autoSpaceDE w:val="false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הנאשם ישלם קנס בסך </w:t>
      </w:r>
      <w:r>
        <w:rPr/>
        <w:t>5000</w:t>
      </w:r>
      <w:r>
        <w:rPr>
          <w:rtl w:val="true"/>
        </w:rPr>
        <w:t xml:space="preserve">  ₪ </w:t>
      </w:r>
      <w:r>
        <w:rPr>
          <w:rtl w:val="true"/>
        </w:rPr>
        <w:t xml:space="preserve">או ירצה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1440" w:end="0"/>
        <w:jc w:val="both"/>
        <w:rPr/>
      </w:pPr>
      <w:r>
        <w:rPr>
          <w:rtl w:val="true"/>
        </w:rPr>
        <w:t xml:space="preserve">הקנס ישולם עד ליום </w:t>
      </w:r>
      <w:r>
        <w:rPr/>
        <w:t>1/1/2012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1440" w:end="0"/>
        <w:jc w:val="both"/>
        <w:rPr/>
      </w:pPr>
      <w:r>
        <w:rPr>
          <w:rtl w:val="true"/>
        </w:rPr>
        <w:t xml:space="preserve">האקדח שנתפס כמוצג </w:t>
      </w:r>
      <w:r>
        <w:rPr>
          <w:rtl w:val="true"/>
        </w:rPr>
        <w:t>–</w:t>
      </w:r>
      <w:r>
        <w:rPr>
          <w:rtl w:val="true"/>
        </w:rPr>
        <w:t xml:space="preserve"> יוחזר לבעליו</w:t>
      </w:r>
      <w:r>
        <w:rPr>
          <w:rtl w:val="true"/>
        </w:rPr>
        <w:t xml:space="preserve">, </w:t>
      </w:r>
      <w:r>
        <w:rPr>
          <w:rtl w:val="true"/>
        </w:rPr>
        <w:t>ובהעדר בעלים יחולט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1440" w:end="0"/>
        <w:jc w:val="both"/>
        <w:rPr/>
      </w:pPr>
      <w:r>
        <w:rPr>
          <w:rtl w:val="true"/>
        </w:rPr>
        <w:t>שאר המוצגים יחולטו או יושמדו</w:t>
      </w:r>
      <w:r>
        <w:rPr>
          <w:rtl w:val="true"/>
        </w:rPr>
        <w:t xml:space="preserve">. </w:t>
      </w:r>
    </w:p>
    <w:p>
      <w:pPr>
        <w:pStyle w:val="Style14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Style14"/>
        <w:spacing w:lineRule="auto" w:line="360"/>
        <w:ind w:end="0"/>
        <w:jc w:val="start"/>
        <w:rPr/>
      </w:pPr>
      <w:r>
        <w:rPr>
          <w:rtl w:val="true"/>
        </w:rPr>
        <w:t xml:space="preserve">זכות ערעור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תמוז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14/07/2011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גיליה רביד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גיליה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רביד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כנרת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גולן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33435-03-11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כארם חמדאן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Style14">
    <w:name w:val="החלטה"/>
    <w:basedOn w:val="Normal"/>
    <w:qFormat/>
    <w:pPr>
      <w:suppressLineNumbers/>
      <w:snapToGrid w:val="false"/>
    </w:pPr>
    <w:rPr>
      <w:rFonts w:ascii="Times New Roman" w:hAnsi="Times New Roman" w:eastAsia="Times New Roman" w:cs="Times New Roman"/>
      <w:bCs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073_002.htm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2011-07-17T13:31:00Z</dcterms:created>
  <dc:creator> </dc:creator>
  <dc:description/>
  <cp:keywords/>
  <dc:language>en-IL</dc:language>
  <cp:lastModifiedBy>hofit</cp:lastModifiedBy>
  <dcterms:modified xsi:type="dcterms:W3CDTF">2011-07-17T13:31:00Z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כארם חמדאן</vt:lpwstr>
  </property>
  <property fmtid="{D5CDD505-2E9C-101B-9397-08002B2CF9AE}" pid="4" name="CITY">
    <vt:lpwstr>ת"א</vt:lpwstr>
  </property>
  <property fmtid="{D5CDD505-2E9C-101B-9397-08002B2CF9AE}" pid="5" name="DATE">
    <vt:lpwstr>20110714</vt:lpwstr>
  </property>
  <property fmtid="{D5CDD505-2E9C-101B-9397-08002B2CF9AE}" pid="6" name="JUDGE">
    <vt:lpwstr>גיליה רביד</vt:lpwstr>
  </property>
  <property fmtid="{D5CDD505-2E9C-101B-9397-08002B2CF9AE}" pid="7" name="LAWYER">
    <vt:lpwstr>טרכטנברג;שרון קינן</vt:lpwstr>
  </property>
  <property fmtid="{D5CDD505-2E9C-101B-9397-08002B2CF9AE}" pid="8" name="NEWPARTA">
    <vt:lpwstr>33435</vt:lpwstr>
  </property>
  <property fmtid="{D5CDD505-2E9C-101B-9397-08002B2CF9AE}" pid="9" name="NEWPARTB">
    <vt:lpwstr>03</vt:lpwstr>
  </property>
  <property fmtid="{D5CDD505-2E9C-101B-9397-08002B2CF9AE}" pid="10" name="NEWPARTC">
    <vt:lpwstr>11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TYPE">
    <vt:lpwstr>2</vt:lpwstr>
  </property>
  <property fmtid="{D5CDD505-2E9C-101B-9397-08002B2CF9AE}" pid="14" name="TYPE_ABS_DATE">
    <vt:lpwstr>390020110714</vt:lpwstr>
  </property>
  <property fmtid="{D5CDD505-2E9C-101B-9397-08002B2CF9AE}" pid="15" name="TYPE_N_DATE">
    <vt:lpwstr>39020110714</vt:lpwstr>
  </property>
  <property fmtid="{D5CDD505-2E9C-101B-9397-08002B2CF9AE}" pid="16" name="WORDNUMPAGES">
    <vt:lpwstr>3</vt:lpwstr>
  </property>
</Properties>
</file>