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Arial" w:hAnsi="Arial" w:cs="Arial"/>
                <w:color w:val="000080"/>
              </w:rPr>
            </w:pPr>
            <w:bookmarkStart w:id="0" w:name="LastJudge"/>
            <w:bookmarkEnd w:id="0"/>
            <w:r>
              <w:rPr>
                <w:rFonts w:ascii="Arial" w:hAnsi="Arial" w:cs="Arial"/>
                <w:b/>
                <w:b/>
                <w:bCs/>
                <w:color w:val="000080"/>
                <w:rtl w:val="true"/>
              </w:rPr>
              <w:t>בית המשפט המחוזי מרכז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Arial" w:ascii="Arial" w:hAnsi="Arial"/>
                <w:sz w:val="28"/>
                <w:szCs w:val="28"/>
              </w:rPr>
              <w:t>33444-05-12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מדינת ישראל נ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שרעבי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28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פברואר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Arial" w:ascii="Arial" w:hAnsi="Arial"/>
                <w:sz w:val="28"/>
                <w:szCs w:val="28"/>
              </w:rPr>
              <w:t>2013</w:t>
            </w:r>
          </w:p>
        </w:tc>
      </w:tr>
    </w:tbl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rtl w:val="true"/>
              </w:rPr>
              <w:t>ורדה מרוז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עוה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ד אבירי </w:t>
            </w:r>
            <w:r>
              <w:rPr>
                <w:rFonts w:ascii="Arial" w:hAnsi="Arial" w:cs="Arial"/>
                <w:rtl w:val="true"/>
              </w:rPr>
              <w:t>–</w:t>
            </w:r>
            <w:r>
              <w:rPr>
                <w:rFonts w:ascii="Arial" w:hAnsi="Arial" w:cs="Arial"/>
                <w:rtl w:val="true"/>
              </w:rPr>
              <w:t xml:space="preserve"> פמ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מ 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יעקב שרעבי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עוה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פורר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651" w:leader="none"/>
        </w:tabs>
        <w:spacing w:lineRule="auto" w:line="360" w:before="0" w:after="240"/>
        <w:ind w:hanging="609" w:start="651" w:end="0"/>
        <w:jc w:val="both"/>
        <w:rPr>
          <w:rFonts w:ascii="Arial" w:hAnsi="Arial" w:cs="Arial"/>
        </w:rPr>
      </w:pPr>
      <w:bookmarkStart w:id="10" w:name="ABSTRACT_START"/>
      <w:bookmarkEnd w:id="10"/>
      <w:r>
        <w:rPr>
          <w:rFonts w:ascii="Arial" w:hAnsi="Arial" w:cs="Arial"/>
          <w:rtl w:val="true"/>
        </w:rPr>
        <w:t>הנאשם הורשע 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הודייתו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 בגדרו הוגש כתב אישום 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בעבירה שעניינה החזקת נשק ותחמושת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Style w:val="aa-h"/>
          <w:rFonts w:cs="Arial" w:ascii="Arial" w:hAnsi="Arial"/>
          <w:rtl w:val="true"/>
        </w:rPr>
        <w:t xml:space="preserve"> </w:t>
      </w:r>
      <w:r>
        <w:rPr>
          <w:rStyle w:val="aa-h"/>
          <w:rFonts w:ascii="Arial" w:hAnsi="Arial" w:cs="Arial"/>
          <w:rtl w:val="true"/>
        </w:rPr>
        <w:t>ל</w:t>
      </w:r>
      <w:hyperlink r:id="rId7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Style w:val="aa-h"/>
          <w:rFonts w:cs="Arial" w:ascii="Arial" w:hAnsi="Arial"/>
          <w:rtl w:val="true"/>
        </w:rPr>
        <w:t xml:space="preserve">, </w:t>
      </w:r>
      <w:r>
        <w:rPr>
          <w:rStyle w:val="aa-h"/>
          <w:rFonts w:ascii="Arial" w:hAnsi="Arial" w:cs="Arial"/>
          <w:rtl w:val="true"/>
        </w:rPr>
        <w:t>תשל</w:t>
      </w:r>
      <w:r>
        <w:rPr>
          <w:rStyle w:val="aa-h"/>
          <w:rFonts w:cs="Arial" w:ascii="Arial" w:hAnsi="Arial"/>
          <w:rtl w:val="true"/>
        </w:rPr>
        <w:t>"</w:t>
      </w:r>
      <w:r>
        <w:rPr>
          <w:rStyle w:val="aa-h"/>
          <w:rFonts w:ascii="Arial" w:hAnsi="Arial" w:cs="Arial"/>
          <w:rtl w:val="true"/>
        </w:rPr>
        <w:t xml:space="preserve">ז – </w:t>
      </w:r>
      <w:r>
        <w:rPr>
          <w:rStyle w:val="aa-h"/>
          <w:rFonts w:cs="Arial" w:ascii="Arial" w:hAnsi="Arial"/>
        </w:rPr>
        <w:t>1977</w:t>
      </w:r>
      <w:bookmarkStart w:id="11" w:name="ABSTRACT_END"/>
      <w:bookmarkEnd w:id="11"/>
      <w:r>
        <w:rPr>
          <w:rStyle w:val="aa-h"/>
          <w:rFonts w:cs="Arial" w:ascii="Arial" w:hAnsi="Arial"/>
          <w:rtl w:val="true"/>
        </w:rPr>
        <w:t xml:space="preserve"> (</w:t>
      </w:r>
      <w:r>
        <w:rPr>
          <w:rStyle w:val="aa-h"/>
          <w:rFonts w:ascii="Arial" w:hAnsi="Arial" w:cs="Arial"/>
          <w:rtl w:val="true"/>
        </w:rPr>
        <w:t>להלן</w:t>
      </w:r>
      <w:r>
        <w:rPr>
          <w:rStyle w:val="aa-h"/>
          <w:rFonts w:cs="Arial" w:ascii="Arial" w:hAnsi="Arial"/>
          <w:rtl w:val="true"/>
        </w:rPr>
        <w:t>: "</w:t>
      </w:r>
      <w:r>
        <w:rPr>
          <w:rStyle w:val="aa-h"/>
          <w:rFonts w:ascii="Arial" w:hAnsi="Arial" w:cs="Arial"/>
          <w:b/>
          <w:b/>
          <w:bCs/>
          <w:sz w:val="22"/>
          <w:sz w:val="22"/>
          <w:szCs w:val="22"/>
          <w:rtl w:val="true"/>
        </w:rPr>
        <w:t>חוק העונשין</w:t>
      </w:r>
      <w:r>
        <w:rPr>
          <w:rStyle w:val="aa-h"/>
          <w:rFonts w:cs="Arial" w:ascii="Arial" w:hAnsi="Arial"/>
          <w:rtl w:val="true"/>
        </w:rPr>
        <w:t>").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651" w:leader="none"/>
        </w:tabs>
        <w:spacing w:lineRule="auto" w:line="360" w:before="0" w:after="240"/>
        <w:ind w:hanging="609" w:start="651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עובר ליום </w:t>
      </w:r>
      <w:r>
        <w:rPr>
          <w:rFonts w:cs="Arial" w:ascii="Arial" w:hAnsi="Arial"/>
        </w:rPr>
        <w:t>11.5.12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נגנב אקדח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מסוג ברטה שמספרו </w:t>
      </w:r>
      <w:r>
        <w:rPr>
          <w:rFonts w:cs="Arial" w:ascii="Arial" w:hAnsi="Arial"/>
        </w:rPr>
        <w:t>D60383Y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האקדח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אשר היה בבעלותו של מר יוסף פלדמן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651" w:leader="none"/>
        </w:tabs>
        <w:spacing w:lineRule="auto" w:line="360" w:before="0" w:after="120"/>
        <w:ind w:hanging="609" w:start="651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11.5.12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בעיר רחובות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החזיק הנאשם ברכבו את הפריטים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1"/>
          <w:numId w:val="1"/>
        </w:numPr>
        <w:spacing w:lineRule="auto" w:line="360" w:before="0" w:after="120"/>
        <w:ind w:hanging="36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מתחת למושב הקדמי הימני נשא הנאשם את האקדח ובו מחסנית שבתוכה כדורים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1"/>
          <w:numId w:val="1"/>
        </w:numPr>
        <w:spacing w:lineRule="auto" w:line="360" w:before="0" w:after="120"/>
        <w:ind w:hanging="36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בתיק שחור שהיה מונח ליד כיסא הנהג נשא הנאשם מחסנית ובה כדורים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1"/>
          <w:numId w:val="1"/>
        </w:numPr>
        <w:spacing w:lineRule="auto" w:line="360" w:before="0" w:after="240"/>
        <w:ind w:hanging="357" w:start="1434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בתא האחסון המצוי בדלת הנהג נשא הנאשם מחסנית ובה כדורים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651" w:leader="none"/>
        </w:tabs>
        <w:spacing w:lineRule="auto" w:line="360" w:before="0" w:after="240"/>
        <w:ind w:hanging="609" w:start="651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</w:t>
      </w:r>
      <w:r>
        <w:rPr>
          <w:rFonts w:ascii="Arial" w:hAnsi="Arial" w:cs="Arial"/>
          <w:rtl w:val="true"/>
        </w:rPr>
        <w:t xml:space="preserve">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עתרה התביעה להשית על הנאשם עונש מאסר בפועל בן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 וקנס משמעותי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הסנגור </w:t>
      </w:r>
      <w:r>
        <w:rPr>
          <w:rFonts w:ascii="Arial" w:hAnsi="Arial" w:cs="Arial"/>
          <w:rtl w:val="true"/>
        </w:rPr>
        <w:t>היה רשאי ל</w:t>
      </w:r>
      <w:r>
        <w:rPr>
          <w:rFonts w:ascii="Arial" w:hAnsi="Arial" w:cs="Arial"/>
          <w:rtl w:val="true"/>
        </w:rPr>
        <w:t>טע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ן לעונש באורח חופשי</w:t>
      </w:r>
      <w:r>
        <w:rPr>
          <w:rFonts w:ascii="Arial" w:hAnsi="Arial" w:cs="Arial"/>
          <w:rtl w:val="true"/>
        </w:rPr>
        <w:t xml:space="preserve"> ועתר להסתפק בעבודות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בעת הצגת ההסדר צ</w:t>
      </w:r>
      <w:r>
        <w:rPr>
          <w:rFonts w:ascii="Arial" w:hAnsi="Arial" w:cs="Arial"/>
          <w:rtl w:val="true"/>
        </w:rPr>
        <w:t>יינו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אין מחלוקת שהנאשם החזיק בנשק לצורך הגנה עצמית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651" w:leader="none"/>
        </w:tabs>
        <w:spacing w:lineRule="auto" w:line="360" w:before="0" w:after="240"/>
        <w:ind w:hanging="609" w:start="651" w:end="0"/>
        <w:jc w:val="both"/>
        <w:rPr>
          <w:rStyle w:val="LineNumber"/>
          <w:rFonts w:ascii="Arial" w:hAnsi="Arial" w:cs="Arial"/>
          <w:b/>
          <w:bCs/>
          <w:u w:val="single"/>
        </w:rPr>
      </w:pPr>
      <w:r>
        <w:rPr>
          <w:rStyle w:val="LineNumber"/>
          <w:rFonts w:cs="Arial" w:ascii="Arial" w:hAnsi="Arial"/>
          <w:rtl w:val="true"/>
        </w:rPr>
        <w:tab/>
      </w:r>
      <w:r>
        <w:rPr>
          <w:rStyle w:val="LineNumber"/>
          <w:rFonts w:ascii="Arial" w:hAnsi="Arial" w:cs="Arial"/>
          <w:b/>
          <w:b/>
          <w:bCs/>
          <w:u w:val="single"/>
          <w:rtl w:val="true"/>
        </w:rPr>
        <w:t>על הנאשם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651" w:leader="none"/>
        </w:tabs>
        <w:spacing w:lineRule="auto" w:line="360" w:before="0" w:after="240"/>
        <w:ind w:hanging="609" w:start="651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מתסקיר שרות המבחן </w:t>
      </w:r>
      <w:r>
        <w:rPr>
          <w:rFonts w:ascii="Arial" w:hAnsi="Arial" w:cs="Arial"/>
          <w:rtl w:val="true"/>
        </w:rPr>
        <w:t>עולות העובדות הבאות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הנאשם בן </w:t>
      </w:r>
      <w:r>
        <w:rPr>
          <w:rFonts w:cs="Arial" w:ascii="Arial" w:hAnsi="Arial"/>
        </w:rPr>
        <w:t>55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לארבעה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בתו הצעירה נפטרה בשנת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בהיותה בת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ממחלת הסרטן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עובד כמנהל השוק הסיטונאי ברחובות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אשתו עקרת בית וסטודנטית לתואר ראשון בפסיכולוגיה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סובל מבעיות רפואיות 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לחץ דם גבוה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כולסטרול ובעיות במערכת הדם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651" w:leader="none"/>
        </w:tabs>
        <w:spacing w:lineRule="auto" w:line="360" w:before="0" w:after="240"/>
        <w:ind w:hanging="609" w:start="651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גדל במשפחה נורמטיבית ומלוכדת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סיים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ושירת שירות צבאי מלא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הצבא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לעבוד כמשווק </w:t>
      </w:r>
      <w:r>
        <w:rPr>
          <w:rFonts w:ascii="Arial" w:hAnsi="Arial" w:cs="Arial"/>
          <w:rtl w:val="true"/>
        </w:rPr>
        <w:t xml:space="preserve">בשוק הסיטונאי </w:t>
      </w:r>
      <w:r>
        <w:rPr>
          <w:rFonts w:ascii="Arial" w:hAnsi="Arial" w:cs="Arial"/>
          <w:rtl w:val="true"/>
        </w:rPr>
        <w:t xml:space="preserve">ברחובות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השוק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ובהמשך בתפקידי</w:t>
      </w:r>
      <w:r>
        <w:rPr>
          <w:rFonts w:ascii="Arial" w:hAnsi="Arial" w:cs="Arial"/>
          <w:rtl w:val="true"/>
        </w:rPr>
        <w:t>ם</w:t>
      </w:r>
      <w:r>
        <w:rPr>
          <w:rFonts w:ascii="Arial" w:hAnsi="Arial" w:cs="Arial"/>
          <w:rtl w:val="true"/>
        </w:rPr>
        <w:t xml:space="preserve"> ניהול</w:t>
      </w:r>
      <w:r>
        <w:rPr>
          <w:rFonts w:ascii="Arial" w:hAnsi="Arial" w:cs="Arial"/>
          <w:rtl w:val="true"/>
        </w:rPr>
        <w:t>יים ב</w:t>
      </w:r>
      <w:r>
        <w:rPr>
          <w:rFonts w:ascii="Arial" w:hAnsi="Arial" w:cs="Arial"/>
          <w:rtl w:val="true"/>
        </w:rPr>
        <w:t>שוק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מזה מספר שנים מנהל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 xml:space="preserve">חברה פרטית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>אחראית על ניהול השוק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תפק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ד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 תקין ויציב ב</w:t>
      </w:r>
      <w:r>
        <w:rPr>
          <w:rFonts w:ascii="Arial" w:hAnsi="Arial" w:cs="Arial"/>
          <w:rtl w:val="true"/>
        </w:rPr>
        <w:t xml:space="preserve">כל </w:t>
      </w:r>
      <w:r>
        <w:rPr>
          <w:rFonts w:ascii="Arial" w:hAnsi="Arial" w:cs="Arial"/>
          <w:rtl w:val="true"/>
        </w:rPr>
        <w:t>מישורי החיים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651" w:leader="none"/>
        </w:tabs>
        <w:spacing w:lineRule="auto" w:line="360" w:before="0" w:after="240"/>
        <w:ind w:hanging="609" w:start="651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ביסוד </w:t>
      </w:r>
      <w:r>
        <w:rPr>
          <w:rFonts w:ascii="Arial" w:hAnsi="Arial" w:cs="Arial"/>
          <w:rtl w:val="true"/>
        </w:rPr>
        <w:t>העבירה</w:t>
      </w:r>
      <w:r>
        <w:rPr>
          <w:rFonts w:ascii="Arial" w:hAnsi="Arial" w:cs="Arial"/>
          <w:rtl w:val="true"/>
        </w:rPr>
        <w:t xml:space="preserve"> בה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עומדת סכנה שנשקפת לנאשם על רקע </w:t>
      </w:r>
      <w:r>
        <w:rPr>
          <w:rFonts w:ascii="Arial" w:hAnsi="Arial" w:cs="Arial"/>
          <w:rtl w:val="true"/>
        </w:rPr>
        <w:t>חיכוכים מתמשכים עם גורמים עברייניים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>מבקשים לגבות דמי חסות ולהשתלט על השוק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גורמים אלו </w:t>
      </w:r>
      <w:r>
        <w:rPr>
          <w:rFonts w:ascii="Arial" w:hAnsi="Arial" w:cs="Arial"/>
          <w:rtl w:val="true"/>
        </w:rPr>
        <w:t xml:space="preserve">נקטו </w:t>
      </w:r>
      <w:r>
        <w:rPr>
          <w:rFonts w:ascii="Arial" w:hAnsi="Arial" w:cs="Arial"/>
          <w:rtl w:val="true"/>
        </w:rPr>
        <w:t xml:space="preserve">בעבר </w:t>
      </w:r>
      <w:r>
        <w:rPr>
          <w:rFonts w:ascii="Arial" w:hAnsi="Arial" w:cs="Arial"/>
          <w:rtl w:val="true"/>
        </w:rPr>
        <w:t>איומים נגד הנאשם ו</w:t>
      </w:r>
      <w:r>
        <w:rPr>
          <w:rFonts w:ascii="Arial" w:hAnsi="Arial" w:cs="Arial"/>
          <w:rtl w:val="true"/>
        </w:rPr>
        <w:t xml:space="preserve">נגד </w:t>
      </w:r>
      <w:r>
        <w:rPr>
          <w:rFonts w:ascii="Arial" w:hAnsi="Arial" w:cs="Arial"/>
          <w:rtl w:val="true"/>
        </w:rPr>
        <w:t>עובדי השוק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אחד </w:t>
      </w:r>
      <w:r>
        <w:rPr>
          <w:rFonts w:ascii="Arial" w:hAnsi="Arial" w:cs="Arial"/>
          <w:rtl w:val="true"/>
        </w:rPr>
        <w:t>מ</w:t>
      </w:r>
      <w:r>
        <w:rPr>
          <w:rFonts w:ascii="Arial" w:hAnsi="Arial" w:cs="Arial"/>
          <w:rtl w:val="true"/>
        </w:rPr>
        <w:t>עובדי</w:t>
      </w:r>
      <w:r>
        <w:rPr>
          <w:rFonts w:ascii="Arial" w:hAnsi="Arial" w:cs="Arial"/>
          <w:rtl w:val="true"/>
        </w:rPr>
        <w:t xml:space="preserve"> השוק נרצח על רקע העובדות הללו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בתחילת שנ</w:t>
      </w:r>
      <w:r>
        <w:rPr>
          <w:rFonts w:ascii="Arial" w:hAnsi="Arial" w:cs="Arial"/>
          <w:rtl w:val="true"/>
        </w:rPr>
        <w:t xml:space="preserve">ת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נורה בנו של הנאשם ונפגע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הגם שאין לו קשר ישיר לפרשיה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651" w:leader="none"/>
        </w:tabs>
        <w:spacing w:lineRule="auto" w:line="360" w:before="0" w:after="240"/>
        <w:ind w:hanging="609" w:start="651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הטעים כי תחושות </w:t>
      </w:r>
      <w:r>
        <w:rPr>
          <w:rFonts w:ascii="Arial" w:hAnsi="Arial" w:cs="Arial"/>
          <w:rtl w:val="true"/>
        </w:rPr>
        <w:t xml:space="preserve">הסכנה </w:t>
      </w:r>
      <w:r>
        <w:rPr>
          <w:rFonts w:ascii="Arial" w:hAnsi="Arial" w:cs="Arial"/>
          <w:rtl w:val="true"/>
        </w:rPr>
        <w:t>והפחד התגברו לאחר הפגיעה בבנו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אז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גמלה בלבו ההחלטה להשיג 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למען הגנתו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אישר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שקל באורח ראוי את האלטרנטיבות הלגיטימיות בהשגת כלי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מחמת המתח הגבוה בו היה שרוי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אובדן בתו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אלו דרדרו אותו לצריכת 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הגם שבדיקת שתן שמסר ביום </w:t>
      </w:r>
      <w:r>
        <w:rPr>
          <w:rFonts w:cs="Arial" w:ascii="Arial" w:hAnsi="Arial"/>
        </w:rPr>
        <w:t>18.12.12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נמצאה נקיה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651" w:leader="none"/>
        </w:tabs>
        <w:spacing w:lineRule="auto" w:line="360" w:before="0" w:after="240"/>
        <w:ind w:hanging="609" w:start="651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</w:t>
      </w:r>
      <w:r>
        <w:rPr>
          <w:rFonts w:ascii="Arial" w:hAnsi="Arial" w:cs="Arial"/>
          <w:rtl w:val="true"/>
        </w:rPr>
        <w:t xml:space="preserve"> התרשם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כי </w:t>
      </w:r>
      <w:r>
        <w:rPr>
          <w:rFonts w:ascii="Arial" w:hAnsi="Arial" w:cs="Arial"/>
          <w:rtl w:val="true"/>
        </w:rPr>
        <w:t>הנאשם מבין את חומרת מעשיו ומשמעות ההליך הפלילי</w:t>
      </w:r>
      <w:r>
        <w:rPr>
          <w:rFonts w:ascii="Arial" w:hAnsi="Arial" w:cs="Arial"/>
          <w:rtl w:val="true"/>
        </w:rPr>
        <w:t xml:space="preserve"> ויש 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>ו את ה</w:t>
      </w:r>
      <w:r>
        <w:rPr>
          <w:rFonts w:ascii="Arial" w:hAnsi="Arial" w:cs="Arial"/>
          <w:rtl w:val="true"/>
        </w:rPr>
        <w:t>כוח ו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כישורים לתפקד </w:t>
      </w:r>
      <w:r>
        <w:rPr>
          <w:rFonts w:ascii="Arial" w:hAnsi="Arial" w:cs="Arial"/>
          <w:rtl w:val="true"/>
        </w:rPr>
        <w:t xml:space="preserve">באורח </w:t>
      </w:r>
      <w:r>
        <w:rPr>
          <w:rFonts w:ascii="Arial" w:hAnsi="Arial" w:cs="Arial"/>
          <w:rtl w:val="true"/>
        </w:rPr>
        <w:t>יציב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אין הוא</w:t>
      </w:r>
      <w:r>
        <w:rPr>
          <w:rFonts w:ascii="Arial" w:hAnsi="Arial" w:cs="Arial"/>
          <w:rtl w:val="true"/>
        </w:rPr>
        <w:t xml:space="preserve"> בעל דפוסי התנהגות אלימים או אימפולסיביים ו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תמודד</w:t>
      </w:r>
      <w:r>
        <w:rPr>
          <w:rFonts w:ascii="Arial" w:hAnsi="Arial" w:cs="Arial"/>
          <w:rtl w:val="true"/>
        </w:rPr>
        <w:t>ותו</w:t>
      </w:r>
      <w:r>
        <w:rPr>
          <w:rFonts w:ascii="Arial" w:hAnsi="Arial" w:cs="Arial"/>
          <w:rtl w:val="true"/>
        </w:rPr>
        <w:t xml:space="preserve"> עם קשיי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 וחרדות</w:t>
      </w:r>
      <w:r>
        <w:rPr>
          <w:rFonts w:ascii="Arial" w:hAnsi="Arial" w:cs="Arial"/>
          <w:rtl w:val="true"/>
        </w:rPr>
        <w:t>יו</w:t>
      </w:r>
      <w:r>
        <w:rPr>
          <w:rFonts w:ascii="Arial" w:hAnsi="Arial" w:cs="Arial"/>
          <w:rtl w:val="true"/>
        </w:rPr>
        <w:t xml:space="preserve"> ב</w:t>
      </w:r>
      <w:r>
        <w:rPr>
          <w:rFonts w:ascii="Arial" w:hAnsi="Arial" w:cs="Arial"/>
          <w:rtl w:val="true"/>
        </w:rPr>
        <w:t>מישור</w:t>
      </w:r>
      <w:r>
        <w:rPr>
          <w:rFonts w:ascii="Arial" w:hAnsi="Arial" w:cs="Arial"/>
          <w:rtl w:val="true"/>
        </w:rPr>
        <w:t xml:space="preserve"> המקצועי והאישי</w:t>
      </w:r>
      <w:r>
        <w:rPr>
          <w:rFonts w:ascii="Arial" w:hAnsi="Arial" w:cs="Arial"/>
          <w:rtl w:val="true"/>
        </w:rPr>
        <w:t xml:space="preserve"> תקינה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בהתחשב באסון שפקד אותו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עם </w:t>
      </w:r>
      <w:r>
        <w:rPr>
          <w:rFonts w:ascii="Arial" w:hAnsi="Arial" w:cs="Arial"/>
          <w:rtl w:val="true"/>
        </w:rPr>
        <w:t>אובדן בתו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שירות המבחן המליץ על טיפול פרטני שיסייע לנאשם להבין את המאפיינים האישיותיים </w:t>
      </w:r>
      <w:r>
        <w:rPr>
          <w:rFonts w:ascii="Arial" w:hAnsi="Arial" w:cs="Arial"/>
          <w:rtl w:val="true"/>
        </w:rPr>
        <w:t>שה</w:t>
      </w:r>
      <w:r>
        <w:rPr>
          <w:rFonts w:ascii="Arial" w:hAnsi="Arial" w:cs="Arial"/>
          <w:rtl w:val="true"/>
        </w:rPr>
        <w:t>וביל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 אותו לביצוע </w:t>
      </w:r>
      <w:r>
        <w:rPr>
          <w:rFonts w:ascii="Arial" w:hAnsi="Arial" w:cs="Arial"/>
          <w:rtl w:val="true"/>
        </w:rPr>
        <w:t>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חרף הסכנה הנשקפת לו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651" w:leader="none"/>
        </w:tabs>
        <w:spacing w:lineRule="auto" w:line="360" w:before="0" w:after="240"/>
        <w:ind w:hanging="609" w:start="651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סופו של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המליץ שירות המבחן על השמת הנאשם בפיקוח משך שנה לצד עבודות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צ בהיקף של </w:t>
      </w:r>
      <w:r>
        <w:rPr>
          <w:rFonts w:cs="Arial" w:ascii="Arial" w:hAnsi="Arial"/>
        </w:rPr>
        <w:t>300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שעות </w:t>
      </w:r>
      <w:r>
        <w:rPr>
          <w:rFonts w:ascii="Arial" w:hAnsi="Arial" w:cs="Arial"/>
          <w:rtl w:val="true"/>
        </w:rPr>
        <w:t>על פי תכנית ש</w:t>
      </w:r>
      <w:r>
        <w:rPr>
          <w:rFonts w:ascii="Arial" w:hAnsi="Arial" w:cs="Arial"/>
          <w:rtl w:val="true"/>
        </w:rPr>
        <w:t>הוכנה עבור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דא עקא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קצין המבחן </w:t>
      </w:r>
      <w:r>
        <w:rPr>
          <w:rFonts w:ascii="Arial" w:hAnsi="Arial" w:cs="Arial"/>
          <w:rtl w:val="true"/>
        </w:rPr>
        <w:t xml:space="preserve">שינה </w:t>
      </w:r>
      <w:r>
        <w:rPr>
          <w:rFonts w:ascii="Arial" w:hAnsi="Arial" w:cs="Arial"/>
          <w:rtl w:val="true"/>
        </w:rPr>
        <w:t>את טעמו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כאשר בסיום התסקיר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העונש ההולם </w:t>
      </w:r>
      <w:r>
        <w:rPr>
          <w:rFonts w:ascii="Arial" w:hAnsi="Arial" w:cs="Arial"/>
          <w:rtl w:val="true"/>
        </w:rPr>
        <w:t xml:space="preserve">שראוי להטיל על הנאשם </w:t>
      </w:r>
      <w:r>
        <w:rPr>
          <w:rFonts w:ascii="Arial" w:hAnsi="Arial" w:cs="Arial"/>
          <w:rtl w:val="true"/>
        </w:rPr>
        <w:t>הו</w:t>
      </w:r>
      <w:r>
        <w:rPr>
          <w:rFonts w:ascii="Arial" w:hAnsi="Arial" w:cs="Arial"/>
          <w:rtl w:val="true"/>
        </w:rPr>
        <w:t>א</w:t>
      </w:r>
      <w:r>
        <w:rPr>
          <w:rFonts w:ascii="Arial" w:hAnsi="Arial" w:cs="Arial"/>
          <w:rtl w:val="true"/>
        </w:rPr>
        <w:t xml:space="preserve"> מאסר שירוצה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באמצעותו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נאשם </w:t>
      </w:r>
      <w:r>
        <w:rPr>
          <w:rFonts w:ascii="Arial" w:hAnsi="Arial" w:cs="Arial"/>
          <w:rtl w:val="true"/>
        </w:rPr>
        <w:t>יישא ב</w:t>
      </w:r>
      <w:r>
        <w:rPr>
          <w:rFonts w:ascii="Arial" w:hAnsi="Arial" w:cs="Arial"/>
          <w:rtl w:val="true"/>
        </w:rPr>
        <w:t xml:space="preserve">אחריות 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>מצב אליו נקלע והשלכות</w:t>
      </w:r>
      <w:r>
        <w:rPr>
          <w:rFonts w:ascii="Arial" w:hAnsi="Arial" w:cs="Arial"/>
          <w:rtl w:val="true"/>
        </w:rPr>
        <w:t>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הצדדים לעונש</w:t>
      </w:r>
    </w:p>
    <w:p>
      <w:pPr>
        <w:pStyle w:val="David"/>
        <w:numPr>
          <w:ilvl w:val="0"/>
          <w:numId w:val="1"/>
        </w:numPr>
        <w:tabs>
          <w:tab w:val="clear" w:pos="720"/>
          <w:tab w:val="left" w:pos="651" w:leader="none"/>
        </w:tabs>
        <w:spacing w:before="0" w:after="240"/>
        <w:ind w:hanging="636" w:start="651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עמדו שניהם על נסיבותיו החריגות של המקרה דנא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בגדרן אדם נורמטיבי שנעדר עבר פלילי הסתבך בעבירה חמורה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מוסכם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האקדח הוחזק על ידי הנאשם לצורך הגנה 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תקרית היירי בבנו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שנוי במחלוקת המשקל שיש ליתן לנסיבות חריגות אלו על העונש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David"/>
        <w:numPr>
          <w:ilvl w:val="0"/>
          <w:numId w:val="1"/>
        </w:numPr>
        <w:tabs>
          <w:tab w:val="clear" w:pos="720"/>
          <w:tab w:val="left" w:pos="651" w:leader="none"/>
        </w:tabs>
        <w:spacing w:before="0" w:after="240"/>
        <w:ind w:hanging="636" w:start="651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לשיטת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רעות אבירי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עמדת המאשימה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הינה עמדה מקלה המגלמת בתוכה את הנסיבות יוצאות הדופן ואין לחרוג ממנה לקולא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הטעימה את חומרת עבירות הנשק והסיכון הטמון בהן לחיי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מקום בו הנשק מוחזק לשם הגנה עצמית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הטעימה את ההלכה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לפיה בעבירות נשק נסוגות נסיבותיו האישיות של הנאשם מפני עקרונות הגמול והענישה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David"/>
        <w:numPr>
          <w:ilvl w:val="0"/>
          <w:numId w:val="1"/>
        </w:numPr>
        <w:tabs>
          <w:tab w:val="clear" w:pos="720"/>
          <w:tab w:val="left" w:pos="651" w:leader="none"/>
        </w:tabs>
        <w:spacing w:before="0" w:after="240"/>
        <w:ind w:hanging="636" w:start="651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התובעת הפנתה לפסיקה בנסיבות דומות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התומכת בגישתה והטעימה כי בנסיבות אחרות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מקום להשית על הנאשם עונש מאסר ממושך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בהתאם לענישה הנוהגת בעבירות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ראתה בחומרה את העובדה שהנאשם הגיש בקשה לרישיון בנשק שנדחתה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אז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אף שהיה מודע לאיסור שבהחזקתו ללא רישיון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בחר לעשות דין לעצמו והשיג את האקדח והתחמושת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לשיטתה העובדה כי האקדח נמצא טעון במחסנית מעידה על כך כי לא הוחזק 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מטרות שלום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כדבריה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סופו של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גרסה התובעת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אין לקבל את המלצת שירות המבחן לעבודות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בהיותה ממוקדת בצרכי הנאשם ומפליגה בקולתה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ענישה מקלה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כמבוקש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תחטא לאינטרס הציבורי ותעודד עשיית דין עצמי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גבי דידה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651" w:leader="none"/>
        </w:tabs>
        <w:spacing w:lineRule="auto" w:line="360" w:before="0" w:after="240"/>
        <w:ind w:hanging="636" w:start="651" w:end="0"/>
        <w:jc w:val="both"/>
        <w:rPr>
          <w:rStyle w:val="LineNumber"/>
          <w:rFonts w:ascii="Arial" w:hAnsi="Arial" w:cs="Arial"/>
        </w:rPr>
      </w:pPr>
      <w:r>
        <w:rPr>
          <w:rStyle w:val="LineNumber"/>
          <w:rFonts w:ascii="Arial" w:hAnsi="Arial" w:cs="Arial"/>
          <w:rtl w:val="true"/>
        </w:rPr>
        <w:t>ב</w:t>
      </w:r>
      <w:r>
        <w:rPr>
          <w:rStyle w:val="LineNumber"/>
          <w:rFonts w:cs="Arial" w:ascii="Arial" w:hAnsi="Arial"/>
          <w:rtl w:val="true"/>
        </w:rPr>
        <w:t>"</w:t>
      </w:r>
      <w:r>
        <w:rPr>
          <w:rStyle w:val="LineNumber"/>
          <w:rFonts w:ascii="Arial" w:hAnsi="Arial" w:cs="Arial"/>
          <w:rtl w:val="true"/>
        </w:rPr>
        <w:t>כ הנאשם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עוה</w:t>
      </w:r>
      <w:r>
        <w:rPr>
          <w:rStyle w:val="LineNumber"/>
          <w:rFonts w:cs="Arial" w:ascii="Arial" w:hAnsi="Arial"/>
          <w:rtl w:val="true"/>
        </w:rPr>
        <w:t>"</w:t>
      </w:r>
      <w:r>
        <w:rPr>
          <w:rStyle w:val="LineNumber"/>
          <w:rFonts w:ascii="Arial" w:hAnsi="Arial" w:cs="Arial"/>
          <w:rtl w:val="true"/>
        </w:rPr>
        <w:t>ד פורר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סבר מנגד כי יש להשית על הנאשם צו מבחן כפי שהמליץ שירות המבחן לצד של</w:t>
      </w:r>
      <w:r>
        <w:rPr>
          <w:rStyle w:val="LineNumber"/>
          <w:rFonts w:cs="Arial" w:ascii="Arial" w:hAnsi="Arial"/>
          <w:rtl w:val="true"/>
        </w:rPr>
        <w:t>"</w:t>
      </w:r>
      <w:r>
        <w:rPr>
          <w:rStyle w:val="LineNumber"/>
          <w:rFonts w:ascii="Arial" w:hAnsi="Arial" w:cs="Arial"/>
          <w:rtl w:val="true"/>
        </w:rPr>
        <w:t xml:space="preserve">צ </w:t>
      </w:r>
      <w:r>
        <w:rPr>
          <w:rStyle w:val="LineNumber"/>
          <w:rFonts w:cs="Arial" w:ascii="Arial" w:hAnsi="Arial"/>
          <w:rtl w:val="true"/>
        </w:rPr>
        <w:t>(</w:t>
      </w:r>
      <w:r>
        <w:rPr>
          <w:rStyle w:val="LineNumber"/>
          <w:rFonts w:ascii="Arial" w:hAnsi="Arial" w:cs="Arial"/>
          <w:rtl w:val="true"/>
        </w:rPr>
        <w:t>בניגוד לתסקיר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הממליץ על עבודות שירות</w:t>
      </w:r>
      <w:r>
        <w:rPr>
          <w:rStyle w:val="LineNumber"/>
          <w:rFonts w:cs="Arial" w:ascii="Arial" w:hAnsi="Arial"/>
          <w:rtl w:val="true"/>
        </w:rPr>
        <w:t xml:space="preserve">). </w:t>
      </w:r>
      <w:r>
        <w:rPr>
          <w:rStyle w:val="LineNumber"/>
          <w:rFonts w:ascii="Arial" w:hAnsi="Arial" w:cs="Arial"/>
          <w:rtl w:val="true"/>
        </w:rPr>
        <w:t>הסנגור שב על נסיבותיו החריגות של הנאשם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על תחושת המצוקה שחש לנוכח הפגיעה בבנו וכן בעקבות ירי שבוצע בעבר לעבר עובדים אחרים בשוק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אירועים בגינם נפתחה חקירה ע</w:t>
      </w:r>
      <w:r>
        <w:rPr>
          <w:rStyle w:val="LineNumber"/>
          <w:rFonts w:cs="Arial" w:ascii="Arial" w:hAnsi="Arial"/>
          <w:rtl w:val="true"/>
        </w:rPr>
        <w:t>"</w:t>
      </w:r>
      <w:r>
        <w:rPr>
          <w:rStyle w:val="LineNumber"/>
          <w:rFonts w:ascii="Arial" w:hAnsi="Arial" w:cs="Arial"/>
          <w:rtl w:val="true"/>
        </w:rPr>
        <w:t>י משטרת ישראל</w:t>
      </w:r>
      <w:r>
        <w:rPr>
          <w:rStyle w:val="LineNumber"/>
          <w:rFonts w:cs="Arial" w:ascii="Arial" w:hAnsi="Arial"/>
          <w:rtl w:val="true"/>
        </w:rPr>
        <w:t xml:space="preserve">. </w:t>
      </w:r>
      <w:r>
        <w:rPr>
          <w:rStyle w:val="LineNumber"/>
          <w:rFonts w:ascii="Arial" w:hAnsi="Arial" w:cs="Arial"/>
          <w:rtl w:val="true"/>
        </w:rPr>
        <w:t>הסנגור ציין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כי הנאשם נקרא למשטרה מספר פעמים לצורך הזהרתו בדבר סכנה ממשית שנשקפת לחייו</w:t>
      </w:r>
      <w:r>
        <w:rPr>
          <w:rStyle w:val="LineNumber"/>
          <w:rFonts w:cs="Arial" w:ascii="Arial" w:hAnsi="Arial"/>
          <w:rtl w:val="true"/>
        </w:rPr>
        <w:t xml:space="preserve">. </w:t>
      </w:r>
      <w:r>
        <w:rPr>
          <w:rStyle w:val="LineNumber"/>
          <w:rFonts w:ascii="Arial" w:hAnsi="Arial" w:cs="Arial"/>
          <w:rtl w:val="true"/>
        </w:rPr>
        <w:t>בנסיבות אלו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ומבלי להקל ראש בעבירה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פעל הנאשם מתוך חוסר אונים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היעדר יכולת להגן על עצמו ועל משפחתו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במיוחד לאחר שנדחתה בקשתו לקבל רישיון נשק כדין</w:t>
      </w:r>
      <w:r>
        <w:rPr>
          <w:rStyle w:val="LineNumber"/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651" w:leader="none"/>
        </w:tabs>
        <w:spacing w:lineRule="auto" w:line="360" w:before="0" w:after="240"/>
        <w:ind w:hanging="636" w:start="651" w:end="0"/>
        <w:jc w:val="both"/>
        <w:rPr>
          <w:rStyle w:val="LineNumber"/>
          <w:rFonts w:ascii="Arial" w:hAnsi="Arial" w:cs="Arial"/>
        </w:rPr>
      </w:pPr>
      <w:r>
        <w:rPr>
          <w:rStyle w:val="LineNumber"/>
          <w:rFonts w:ascii="Arial" w:hAnsi="Arial" w:cs="Arial"/>
          <w:rtl w:val="true"/>
        </w:rPr>
        <w:t>הסנגור עמד על נסיבות חייו הקשות של הנאשם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אובדנה של בתו לפני מספר שנים ובעיותיו הרפואיות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הודייתו בעבירה בהזדמנות הראשונה וחרטתו הכנה על מעשיו</w:t>
      </w:r>
      <w:r>
        <w:rPr>
          <w:rStyle w:val="LineNumber"/>
          <w:rFonts w:cs="Arial" w:ascii="Arial" w:hAnsi="Arial"/>
          <w:rtl w:val="true"/>
        </w:rPr>
        <w:t xml:space="preserve">. </w:t>
      </w:r>
      <w:r>
        <w:rPr>
          <w:rStyle w:val="LineNumber"/>
          <w:rFonts w:ascii="Arial" w:hAnsi="Arial" w:cs="Arial"/>
          <w:rtl w:val="true"/>
        </w:rPr>
        <w:t>הסנגור הטעים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 xml:space="preserve">כי לו היה מוגש כתב האישום מלכתחילה בגין עבירה של החזקת נשק </w:t>
      </w:r>
      <w:r>
        <w:rPr>
          <w:rStyle w:val="LineNumber"/>
          <w:rFonts w:cs="Arial" w:ascii="Arial" w:hAnsi="Arial"/>
          <w:rtl w:val="true"/>
        </w:rPr>
        <w:t>(</w:t>
      </w:r>
      <w:r>
        <w:rPr>
          <w:rStyle w:val="LineNumber"/>
          <w:rFonts w:ascii="Arial" w:hAnsi="Arial" w:cs="Arial"/>
          <w:rtl w:val="true"/>
        </w:rPr>
        <w:t>בשונה מנשיאת נשק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כפי שהוגש במקור</w:t>
      </w:r>
      <w:r>
        <w:rPr>
          <w:rStyle w:val="LineNumber"/>
          <w:rFonts w:cs="Arial" w:ascii="Arial" w:hAnsi="Arial"/>
          <w:rtl w:val="true"/>
        </w:rPr>
        <w:t xml:space="preserve">), </w:t>
      </w:r>
      <w:r>
        <w:rPr>
          <w:rStyle w:val="LineNumber"/>
          <w:rFonts w:ascii="Arial" w:hAnsi="Arial" w:cs="Arial"/>
          <w:rtl w:val="true"/>
        </w:rPr>
        <w:t>הרי שהיה נדון בפני בית משפט השלום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והעונש שנגזר על הנאשם היה בהתאם</w:t>
      </w:r>
      <w:r>
        <w:rPr>
          <w:rStyle w:val="LineNumber"/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651" w:leader="none"/>
        </w:tabs>
        <w:spacing w:lineRule="auto" w:line="360" w:before="0" w:after="240"/>
        <w:ind w:hanging="636" w:start="651" w:end="0"/>
        <w:jc w:val="both"/>
        <w:rPr>
          <w:rStyle w:val="LineNumber"/>
          <w:rFonts w:ascii="Arial" w:hAnsi="Arial" w:cs="Arial"/>
        </w:rPr>
      </w:pPr>
      <w:r>
        <w:rPr>
          <w:rStyle w:val="LineNumber"/>
          <w:rFonts w:ascii="Arial" w:hAnsi="Arial" w:cs="Arial"/>
          <w:rtl w:val="true"/>
        </w:rPr>
        <w:t>לבסוף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הביע הסנגור את הסתייגותו מהמלצת שירות המבחן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אשר שינה את טעמו כאשר המליץ על עבודות שירות תחת של</w:t>
      </w:r>
      <w:r>
        <w:rPr>
          <w:rStyle w:val="LineNumber"/>
          <w:rFonts w:cs="Arial" w:ascii="Arial" w:hAnsi="Arial"/>
          <w:rtl w:val="true"/>
        </w:rPr>
        <w:t>"</w:t>
      </w:r>
      <w:r>
        <w:rPr>
          <w:rStyle w:val="LineNumber"/>
          <w:rFonts w:ascii="Arial" w:hAnsi="Arial" w:cs="Arial"/>
          <w:rtl w:val="true"/>
        </w:rPr>
        <w:t>צ</w:t>
      </w:r>
      <w:r>
        <w:rPr>
          <w:rStyle w:val="LineNumber"/>
          <w:rFonts w:cs="Arial" w:ascii="Arial" w:hAnsi="Arial"/>
          <w:rtl w:val="true"/>
        </w:rPr>
        <w:t xml:space="preserve">. </w:t>
      </w:r>
      <w:r>
        <w:rPr>
          <w:rStyle w:val="LineNumber"/>
          <w:rFonts w:ascii="Arial" w:hAnsi="Arial" w:cs="Arial"/>
          <w:rtl w:val="true"/>
        </w:rPr>
        <w:t>הסנגור הטעים כי לא היה מקום לעשות כן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קל וחומר מבלי לנמק את השינוי בהמלצה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זאת על רקע הנסיבות המיוחדות ויוצאות הדופן של האירוע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המצדיקות חריגה ממדיניות הענישה</w:t>
      </w:r>
      <w:r>
        <w:rPr>
          <w:rStyle w:val="LineNumber"/>
          <w:rFonts w:cs="Arial" w:ascii="Arial" w:hAnsi="Arial"/>
          <w:rtl w:val="true"/>
        </w:rPr>
        <w:t xml:space="preserve">. </w:t>
      </w:r>
      <w:r>
        <w:rPr>
          <w:rStyle w:val="LineNumber"/>
          <w:rFonts w:ascii="Arial" w:hAnsi="Arial" w:cs="Arial"/>
          <w:rtl w:val="true"/>
        </w:rPr>
        <w:t>הסנגור הדגיש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כי עבודות שירות תפגענה בעבודתו של הנאשם</w:t>
      </w:r>
      <w:r>
        <w:rPr>
          <w:rStyle w:val="LineNumber"/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651" w:leader="none"/>
        </w:tabs>
        <w:spacing w:lineRule="auto" w:line="360" w:before="0" w:after="240"/>
        <w:ind w:hanging="636" w:start="651" w:end="0"/>
        <w:jc w:val="both"/>
        <w:rPr>
          <w:rStyle w:val="LineNumber"/>
          <w:rFonts w:ascii="Arial" w:hAnsi="Arial" w:cs="Arial"/>
        </w:rPr>
      </w:pPr>
      <w:r>
        <w:rPr>
          <w:rStyle w:val="LineNumber"/>
          <w:rFonts w:ascii="Arial" w:hAnsi="Arial" w:cs="Arial"/>
          <w:rtl w:val="true"/>
        </w:rPr>
        <w:t>הנאשם פנה לבית המשפט בדברים אחרונים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הצטער על מעשיו ומסר כי הוא מתבייש בהם</w:t>
      </w:r>
      <w:r>
        <w:rPr>
          <w:rStyle w:val="LineNumber"/>
          <w:rFonts w:cs="Arial" w:ascii="Arial" w:hAnsi="Arial"/>
          <w:rtl w:val="true"/>
        </w:rPr>
        <w:t xml:space="preserve">. </w:t>
      </w:r>
      <w:r>
        <w:rPr>
          <w:rStyle w:val="LineNumber"/>
          <w:rFonts w:ascii="Arial" w:hAnsi="Arial" w:cs="Arial"/>
          <w:rtl w:val="true"/>
        </w:rPr>
        <w:t>הוא הדגיש כי המעשה בוצע מתוך פחד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לאחר שאיבד את בתו ובהמשך קיבל את הידיעה כי בנו נפגע בירי</w:t>
      </w:r>
      <w:r>
        <w:rPr>
          <w:rStyle w:val="LineNumber"/>
          <w:rFonts w:cs="Arial" w:ascii="Arial" w:hAnsi="Arial"/>
          <w:rtl w:val="true"/>
        </w:rPr>
        <w:t xml:space="preserve">. </w:t>
      </w:r>
      <w:r>
        <w:rPr>
          <w:rStyle w:val="LineNumber"/>
          <w:rFonts w:ascii="Arial" w:hAnsi="Arial" w:cs="Arial"/>
          <w:rtl w:val="true"/>
        </w:rPr>
        <w:t>כיום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מסר כי הוא ממוקד בחזרה לחיים נורמטיביים</w:t>
      </w:r>
      <w:r>
        <w:rPr>
          <w:rStyle w:val="LineNumber"/>
          <w:rFonts w:cs="Arial" w:ascii="Arial" w:hAnsi="Arial"/>
          <w:rtl w:val="true"/>
        </w:rPr>
        <w:t xml:space="preserve">. </w:t>
      </w:r>
      <w:r>
        <w:rPr>
          <w:rStyle w:val="LineNumber"/>
          <w:rFonts w:ascii="Arial" w:hAnsi="Arial" w:cs="Arial"/>
          <w:rtl w:val="true"/>
        </w:rPr>
        <w:t>לדבריו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קצין המבחן מסר לו את המלצתו לשל</w:t>
      </w:r>
      <w:r>
        <w:rPr>
          <w:rStyle w:val="LineNumber"/>
          <w:rFonts w:cs="Arial" w:ascii="Arial" w:hAnsi="Arial"/>
          <w:rtl w:val="true"/>
        </w:rPr>
        <w:t>"</w:t>
      </w:r>
      <w:r>
        <w:rPr>
          <w:rStyle w:val="LineNumber"/>
          <w:rFonts w:ascii="Arial" w:hAnsi="Arial" w:cs="Arial"/>
          <w:rtl w:val="true"/>
        </w:rPr>
        <w:t>צ  וככל הנראה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לאחר התייעצות</w:t>
      </w:r>
      <w:r>
        <w:rPr>
          <w:rStyle w:val="LineNumber"/>
          <w:rFonts w:cs="Arial" w:ascii="Arial" w:hAnsi="Arial"/>
          <w:rtl w:val="true"/>
        </w:rPr>
        <w:t xml:space="preserve">, </w:t>
      </w:r>
      <w:r>
        <w:rPr>
          <w:rStyle w:val="LineNumber"/>
          <w:rFonts w:ascii="Arial" w:hAnsi="Arial" w:cs="Arial"/>
          <w:rtl w:val="true"/>
        </w:rPr>
        <w:t>חזר בו ומסר שימליץ על עבודות שירות</w:t>
      </w:r>
      <w:r>
        <w:rPr>
          <w:rStyle w:val="LineNumber"/>
          <w:rFonts w:cs="Arial" w:ascii="Arial" w:hAnsi="Arial"/>
          <w:rtl w:val="true"/>
        </w:rPr>
        <w:t xml:space="preserve">. </w:t>
      </w:r>
      <w:r>
        <w:rPr>
          <w:rStyle w:val="LineNumber"/>
          <w:rFonts w:ascii="Arial" w:hAnsi="Arial" w:cs="Arial"/>
          <w:rtl w:val="true"/>
        </w:rPr>
        <w:t>הנאשם עמד אף הוא על הקושי שבשילוב עבודתו עם עבודות שירות</w:t>
      </w:r>
      <w:r>
        <w:rPr>
          <w:rStyle w:val="LineNumber"/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עבירות הנשק ידועות בחומרתן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הסיכון הטמון בהן לחיי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קל וחומר על רקע ההסלמה שחלה בעבירות נשק בשנים האחרונות וזמינותם של כלי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הפוגעים בתחושת ביטחונם של אזרחים תמימים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כפועל יוצא של מציאות קשה זו נטלו על עצמם בתי המשפט חלק במיגור התופעה באמצעות הטלת עונשים כבדים ומרתיעים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נקבע ב</w:t>
      </w:r>
      <w:hyperlink r:id="rId8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4526/04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זעתרי נ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spacing w:before="0" w:after="240"/>
        <w:ind w:start="1466" w:end="72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בימים אלה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כאשר נשק חם משמש בידי ארגוני טרור לפעולות חבלה והרג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או בידי עבריינים למטרות פליליות המסכנות חיי אדם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מצווים בתי המשפט להגיב בענישה חמורה על עבירות של סחר בנשק והחזקתו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cs="Arial" w:ascii="Arial" w:hAnsi="Arial"/>
          <w:sz w:val="22"/>
          <w:szCs w:val="22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rtl w:val="true"/>
        </w:rPr>
        <w:t>כן נקבע כי ככלל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כגון דא יוטלו עונשי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גם מקום בו מדובר בנאשם נורמטיבי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ללא הרשעות קודמות </w:t>
      </w:r>
      <w:r>
        <w:rPr>
          <w:rFonts w:cs="Arial" w:ascii="Arial" w:hAnsi="Arial"/>
          <w:sz w:val="22"/>
          <w:szCs w:val="22"/>
          <w:rtl w:val="true"/>
        </w:rPr>
        <w:t>(</w:t>
      </w:r>
      <w:r>
        <w:rPr>
          <w:rFonts w:ascii="Arial" w:hAnsi="Arial" w:cs="Arial"/>
          <w:sz w:val="22"/>
          <w:sz w:val="22"/>
          <w:szCs w:val="22"/>
          <w:rtl w:val="true"/>
        </w:rPr>
        <w:t>שם</w:t>
      </w:r>
      <w:r>
        <w:rPr>
          <w:rFonts w:cs="Arial" w:ascii="Arial" w:hAnsi="Arial"/>
          <w:sz w:val="22"/>
          <w:szCs w:val="22"/>
          <w:rtl w:val="true"/>
        </w:rPr>
        <w:t>).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2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לכללים הנהוגים קיימים חריגים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בעניינו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המאשימה ציינה בהגינותה כי המקרה דנן אינו מקרה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רגיל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של החזקת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9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הבניית שיקול הדעת השיפוטי בענישה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תיקון </w:t>
      </w:r>
      <w:r>
        <w:rPr>
          <w:rFonts w:cs="Arial" w:ascii="Arial" w:hAnsi="Arial"/>
          <w:b/>
          <w:bCs/>
          <w:sz w:val="22"/>
          <w:szCs w:val="22"/>
        </w:rPr>
        <w:t>113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קובע כי בקביעת מתחם הענישה ההולם לעבירה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בית המשפט ליתן דעתו לנסיבות ביצוע העבירה ובין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לסיבות בעטיין נעברה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לנזק שנגרם מביצועה ולנסיבות נוספות ככל שיימצאו רלוונטיות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הנשק הוחזק לצורך הגנה 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רקע מצוקה קשה </w:t>
      </w:r>
      <w:r>
        <w:rPr>
          <w:rFonts w:ascii="Arial" w:hAnsi="Arial" w:cs="Arial"/>
          <w:rtl w:val="true"/>
        </w:rPr>
        <w:t xml:space="preserve">בה היה </w:t>
      </w:r>
      <w:r>
        <w:rPr>
          <w:rFonts w:ascii="Arial" w:hAnsi="Arial" w:cs="Arial"/>
          <w:rtl w:val="true"/>
        </w:rPr>
        <w:t xml:space="preserve">הנאשם היה </w:t>
      </w:r>
      <w:r>
        <w:rPr>
          <w:rFonts w:ascii="Arial" w:hAnsi="Arial" w:cs="Arial"/>
          <w:rtl w:val="true"/>
        </w:rPr>
        <w:t>מצוי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עקב חיכוכים עם גורמים עברייניים במסגרת עבודתו ולאחר שאלו ירו ופגעו בבנו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אשר אין לו חלק בסכסוך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יש לזכור כי הנאשם חווה </w:t>
      </w:r>
      <w:r>
        <w:rPr>
          <w:rFonts w:ascii="Arial" w:hAnsi="Arial" w:cs="Arial"/>
          <w:rtl w:val="true"/>
        </w:rPr>
        <w:t>אסון כבד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עם</w:t>
      </w:r>
      <w:r>
        <w:rPr>
          <w:rFonts w:ascii="Arial" w:hAnsi="Arial" w:cs="Arial"/>
          <w:rtl w:val="true"/>
        </w:rPr>
        <w:t xml:space="preserve"> אובדן בתו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עובדה אשר מטבע הדברים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העצימה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גם לדבריו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את תחושת החרדה שדבקה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עם היוודע לו הפגיעה בבנו הבכור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2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זאת ועוד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בחוות דעת הממונה על עבודות שרות מיום </w:t>
      </w:r>
      <w:r>
        <w:rPr>
          <w:rFonts w:cs="Arial" w:ascii="Arial" w:hAnsi="Arial"/>
        </w:rPr>
        <w:t>17.2.13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קבע הממונה כי הנאשם אינו מתאים לעבודות שרות וזאת על בסיס חוות דעת מודיעין ממשטרת ישראל אשר קבעה כי קיימת 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מסוכנות כלפיו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" </w:t>
      </w:r>
      <w:r>
        <w:rPr>
          <w:rFonts w:ascii="Arial" w:hAnsi="Arial" w:cs="Arial"/>
          <w:rtl w:val="true"/>
        </w:rPr>
        <w:t>ללמדך כי הסכנה טרם חלפה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2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יש להבחין בין החזקת נשק שנועדה לגרום רעה לאחר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לצורך נקמה למשל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לבין מצב בו הנשק מוחזק במטרה </w:t>
      </w:r>
      <w:r>
        <w:rPr>
          <w:rFonts w:ascii="Arial" w:hAnsi="Arial" w:cs="Arial"/>
          <w:sz w:val="26"/>
          <w:sz w:val="26"/>
          <w:szCs w:val="26"/>
          <w:rtl w:val="true"/>
        </w:rPr>
        <w:t>לקדם את פני הרעה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כפי שנעשה בענייננו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הגם שאין בנסיבות המתוארות כדי להכשיר את מעשה העבירה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הרי שהן מקהות מחומרתו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cs="Arial" w:ascii="Arial" w:hAnsi="Arial"/>
          <w:sz w:val="22"/>
          <w:szCs w:val="22"/>
          <w:rtl w:val="true"/>
        </w:rPr>
        <w:t>(</w:t>
      </w:r>
      <w:r>
        <w:rPr>
          <w:rFonts w:ascii="Arial" w:hAnsi="Arial" w:cs="Arial"/>
          <w:sz w:val="22"/>
          <w:sz w:val="22"/>
          <w:szCs w:val="22"/>
          <w:rtl w:val="true"/>
        </w:rPr>
        <w:t>לעניין היותה של עבירת החזקת נשק לשם הגנה עצמית במדרג הנמוך יחסית של החומרה ר</w:t>
      </w:r>
      <w:r>
        <w:rPr>
          <w:rFonts w:cs="Arial" w:ascii="Arial" w:hAnsi="Arial"/>
          <w:sz w:val="22"/>
          <w:szCs w:val="22"/>
          <w:rtl w:val="true"/>
        </w:rPr>
        <w:t xml:space="preserve">' </w:t>
      </w:r>
      <w:hyperlink r:id="rId10">
        <w:r>
          <w:rPr>
            <w:rStyle w:val="Hyperlink"/>
            <w:rFonts w:ascii="Arial" w:hAnsi="Arial" w:cs="Arial"/>
            <w:b/>
            <w:b/>
            <w:bCs/>
            <w:sz w:val="22"/>
            <w:sz w:val="22"/>
            <w:szCs w:val="22"/>
            <w:rtl w:val="true"/>
          </w:rPr>
          <w:t>ב</w:t>
        </w:r>
        <w:r>
          <w:rPr>
            <w:rStyle w:val="Hyperlink"/>
            <w:rFonts w:cs="Arial" w:ascii="Arial" w:hAnsi="Arial"/>
            <w:b/>
            <w:bCs/>
            <w:sz w:val="22"/>
            <w:szCs w:val="22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sz w:val="22"/>
            <w:sz w:val="22"/>
            <w:szCs w:val="22"/>
            <w:rtl w:val="true"/>
          </w:rPr>
          <w:t xml:space="preserve">ש </w:t>
        </w:r>
        <w:r>
          <w:rPr>
            <w:rStyle w:val="Hyperlink"/>
            <w:rFonts w:cs="Arial" w:ascii="Arial" w:hAnsi="Arial"/>
            <w:b/>
            <w:bCs/>
            <w:sz w:val="22"/>
            <w:szCs w:val="22"/>
          </w:rPr>
          <w:t>625/82</w:t>
        </w:r>
        <w:r>
          <w:rPr>
            <w:rStyle w:val="Hyperlink"/>
            <w:rFonts w:cs="Arial" w:ascii="Arial" w:hAnsi="Arial"/>
            <w:b/>
            <w:bCs/>
            <w:sz w:val="22"/>
            <w:szCs w:val="22"/>
            <w:rtl w:val="true"/>
          </w:rPr>
          <w:t xml:space="preserve"> </w:t>
        </w:r>
        <w:r>
          <w:rPr>
            <w:rStyle w:val="Hyperlink"/>
            <w:rFonts w:ascii="Arial" w:hAnsi="Arial" w:cs="Arial"/>
            <w:b/>
            <w:b/>
            <w:bCs/>
            <w:sz w:val="22"/>
            <w:sz w:val="22"/>
            <w:szCs w:val="22"/>
            <w:rtl w:val="true"/>
          </w:rPr>
          <w:t>אבו מוך נ</w:t>
        </w:r>
        <w:r>
          <w:rPr>
            <w:rStyle w:val="Hyperlink"/>
            <w:rFonts w:cs="Arial" w:ascii="Arial" w:hAnsi="Arial"/>
            <w:b/>
            <w:bCs/>
            <w:sz w:val="22"/>
            <w:szCs w:val="22"/>
            <w:rtl w:val="true"/>
          </w:rPr>
          <w:t xml:space="preserve">' </w:t>
        </w:r>
        <w:r>
          <w:rPr>
            <w:rStyle w:val="Hyperlink"/>
            <w:rFonts w:ascii="Arial" w:hAnsi="Arial" w:cs="Arial"/>
            <w:b/>
            <w:b/>
            <w:bCs/>
            <w:sz w:val="22"/>
            <w:sz w:val="22"/>
            <w:szCs w:val="22"/>
            <w:rtl w:val="true"/>
          </w:rPr>
          <w:t>מדינת ישראל</w:t>
        </w:r>
        <w:r>
          <w:rPr>
            <w:rStyle w:val="Hyperlink"/>
            <w:rFonts w:cs="Arial" w:ascii="Arial" w:hAnsi="Arial"/>
            <w:b/>
            <w:bCs/>
            <w:sz w:val="22"/>
            <w:szCs w:val="22"/>
            <w:rtl w:val="true"/>
          </w:rPr>
          <w:t xml:space="preserve">, </w:t>
        </w:r>
        <w:r>
          <w:rPr>
            <w:rStyle w:val="Hyperlink"/>
            <w:rFonts w:ascii="Arial" w:hAnsi="Arial" w:cs="Arial"/>
            <w:b/>
            <w:b/>
            <w:bCs/>
            <w:sz w:val="22"/>
            <w:sz w:val="22"/>
            <w:szCs w:val="22"/>
            <w:rtl w:val="true"/>
          </w:rPr>
          <w:t>פ</w:t>
        </w:r>
        <w:r>
          <w:rPr>
            <w:rStyle w:val="Hyperlink"/>
            <w:rFonts w:cs="Arial" w:ascii="Arial" w:hAnsi="Arial"/>
            <w:b/>
            <w:bCs/>
            <w:sz w:val="22"/>
            <w:szCs w:val="22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sz w:val="22"/>
            <w:sz w:val="22"/>
            <w:szCs w:val="22"/>
            <w:rtl w:val="true"/>
          </w:rPr>
          <w:t>ד לז</w:t>
        </w:r>
      </w:hyperlink>
      <w:r>
        <w:rPr>
          <w:rFonts w:cs="Arial" w:ascii="Arial" w:hAnsi="Arial"/>
          <w:sz w:val="22"/>
          <w:szCs w:val="22"/>
          <w:rtl w:val="true"/>
        </w:rPr>
        <w:t>(</w:t>
      </w:r>
      <w:r>
        <w:rPr>
          <w:rFonts w:cs="Arial" w:ascii="Arial" w:hAnsi="Arial"/>
          <w:sz w:val="22"/>
          <w:szCs w:val="22"/>
        </w:rPr>
        <w:t>3</w:t>
      </w:r>
      <w:r>
        <w:rPr>
          <w:rFonts w:cs="Arial" w:ascii="Arial" w:hAnsi="Arial"/>
          <w:sz w:val="22"/>
          <w:szCs w:val="22"/>
          <w:rtl w:val="true"/>
        </w:rPr>
        <w:t xml:space="preserve">), </w:t>
      </w:r>
      <w:r>
        <w:rPr>
          <w:rFonts w:cs="Arial" w:ascii="Arial" w:hAnsi="Arial"/>
          <w:sz w:val="22"/>
          <w:szCs w:val="22"/>
        </w:rPr>
        <w:t>668</w:t>
      </w:r>
      <w:r>
        <w:rPr>
          <w:rFonts w:cs="Arial" w:ascii="Arial" w:hAnsi="Arial"/>
          <w:sz w:val="22"/>
          <w:szCs w:val="22"/>
          <w:rtl w:val="true"/>
        </w:rPr>
        <w:t>)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2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מלאכת הענישה לעולם הינה אינדיבידואלית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תפיסה זו מצאה עיגון גם בתיקון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יא</w:t>
        </w:r>
      </w:hyperlink>
      <w:r>
        <w:rPr>
          <w:rFonts w:ascii="Arial" w:hAnsi="Arial" w:cs="Arial"/>
          <w:rtl w:val="true"/>
        </w:rPr>
        <w:t xml:space="preserve"> הקובע כי בגזירת העונש ההולם 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יתחשב בית המשפט בנסיבותיו האישיות </w:t>
      </w:r>
      <w:r>
        <w:rPr>
          <w:rFonts w:cs="Arial" w:ascii="Arial" w:hAnsi="Arial"/>
          <w:rtl w:val="true"/>
        </w:rPr>
        <w:t>("</w:t>
      </w:r>
      <w:r>
        <w:rPr>
          <w:rFonts w:ascii="Arial" w:hAnsi="Arial" w:cs="Arial"/>
          <w:rtl w:val="true"/>
        </w:rPr>
        <w:t>נסיבות שאינן קשורות בביצוע העבירה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 xml:space="preserve">וכן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ד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הקובע כי במקרים חריגים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לסטות ממתחם הענישה ההולם לעבירה ולקבוע את העונש על פי שיקולי השיקום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2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בשקלול מכלול השיקולים במקרה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דומני כי </w:t>
      </w:r>
      <w:r>
        <w:rPr>
          <w:rFonts w:ascii="Arial" w:hAnsi="Arial" w:cs="Arial"/>
          <w:rtl w:val="true"/>
        </w:rPr>
        <w:t xml:space="preserve">ראוי ליתן זכות בכורה </w:t>
      </w:r>
      <w:bookmarkStart w:id="12" w:name="_GoBack"/>
      <w:bookmarkEnd w:id="12"/>
      <w:r>
        <w:rPr>
          <w:rFonts w:ascii="Arial" w:hAnsi="Arial" w:cs="Arial"/>
          <w:rtl w:val="true"/>
        </w:rPr>
        <w:t>לנסיבותיו האישיות של הנאשם ול</w:t>
      </w:r>
      <w:r>
        <w:rPr>
          <w:rFonts w:ascii="Arial" w:hAnsi="Arial" w:cs="Arial"/>
          <w:rtl w:val="true"/>
        </w:rPr>
        <w:t xml:space="preserve">אינטרס השיקום על פני </w:t>
      </w:r>
      <w:r>
        <w:rPr>
          <w:rFonts w:ascii="Arial" w:hAnsi="Arial" w:cs="Arial"/>
          <w:rtl w:val="true"/>
        </w:rPr>
        <w:t>האינטרס הציבורי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שעניינו גמול והרתעה</w:t>
      </w:r>
      <w:r>
        <w:rPr>
          <w:rFonts w:ascii="Arial" w:hAnsi="Arial" w:cs="Arial"/>
          <w:rtl w:val="true"/>
        </w:rPr>
        <w:t xml:space="preserve"> ולהימנע משליחת</w:t>
      </w:r>
      <w:r>
        <w:rPr>
          <w:rFonts w:ascii="Arial" w:hAnsi="Arial" w:cs="Arial"/>
          <w:rtl w:val="true"/>
        </w:rPr>
        <w:t>ו של</w:t>
      </w:r>
      <w:r>
        <w:rPr>
          <w:rFonts w:ascii="Arial" w:hAnsi="Arial" w:cs="Arial"/>
          <w:rtl w:val="true"/>
        </w:rPr>
        <w:t xml:space="preserve"> הנאשם למאסר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לאורך </w:t>
      </w:r>
      <w:r>
        <w:rPr>
          <w:rFonts w:cs="Arial" w:ascii="Arial" w:hAnsi="Arial"/>
        </w:rPr>
        <w:t>55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קיים הנאשם אורח חיים נורמטיבי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הודה בעבירה בהזדמנות הראשונה והביע חרטה ובושה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נסיבות חייו קשות ואומללות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התרשם באורח חיובי מהנאשם והמליץ להטיל עליו צו מבחן אשר באמצעותו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יעבור טיפול שיסייע לו בעיבוד קשייו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ברכישת כלים להתמודדות עמם ובהפקת לקחים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עוד מצא </w:t>
      </w:r>
      <w:r>
        <w:rPr>
          <w:rFonts w:ascii="Arial" w:hAnsi="Arial" w:cs="Arial"/>
          <w:rtl w:val="true"/>
        </w:rPr>
        <w:t>שירות המבחן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להליך הפלילי השפעה הרתעתית על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2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בנסיבות שתוארו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פני הדברים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</w:t>
      </w:r>
      <w:r>
        <w:rPr>
          <w:rFonts w:ascii="Arial" w:hAnsi="Arial" w:cs="Arial"/>
          <w:rtl w:val="true"/>
        </w:rPr>
        <w:t>שירוצה בעבודות שרות היה מקיים באורח ראוי את האיזון בין כלל האינטרסים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אולם משנמצא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 xml:space="preserve">בלתי מתאים לעבודות שרות בשל </w:t>
      </w:r>
      <w:r>
        <w:rPr>
          <w:rFonts w:ascii="Arial" w:hAnsi="Arial" w:cs="Arial"/>
          <w:b/>
          <w:b/>
          <w:bCs/>
          <w:u w:val="single"/>
          <w:rtl w:val="true"/>
        </w:rPr>
        <w:t>סכנה הנשקפת לו מאחרים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סבורני כי אין להמיר את עבודות השרות במאסר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יחמיר עם הנאשם יתר על המידה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לא עוול בכפו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העונש הראוי אפוא הוא הטלת עבודות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אם יש בו משום הקלה של ממש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2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ולאחר שנתתי דעתי לנסיבות לחומרה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לקולה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גוזרת</w:t>
      </w:r>
      <w:r>
        <w:rPr>
          <w:rFonts w:ascii="Arial" w:hAnsi="Arial" w:cs="Arial"/>
          <w:rtl w:val="true"/>
        </w:rPr>
        <w:t xml:space="preserve">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1"/>
          <w:numId w:val="1"/>
        </w:numPr>
        <w:spacing w:lineRule="auto" w:line="360" w:before="0" w:after="240"/>
        <w:ind w:hanging="36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עבודות במסגרת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צ בהיקף של </w:t>
      </w:r>
      <w:r>
        <w:rPr>
          <w:rFonts w:cs="Arial" w:ascii="Arial" w:hAnsi="Arial"/>
        </w:rPr>
        <w:t>500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תכנית שתוכן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שירות המבחן ותומצא בכתב לבית המשפט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גיבושה יחל הנאשם בביצוע העבודות ללא צורך בהחלטה שיפוטית נוספת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1"/>
          <w:numId w:val="1"/>
        </w:numPr>
        <w:spacing w:lineRule="auto" w:line="360" w:before="0" w:after="240"/>
        <w:ind w:hanging="36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יהיה תחת פיקוח שירות המבחן למשך שנה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1"/>
          <w:numId w:val="1"/>
        </w:numPr>
        <w:spacing w:lineRule="auto" w:line="360" w:before="0" w:after="240"/>
        <w:ind w:hanging="36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</w:t>
      </w:r>
      <w:r>
        <w:rPr>
          <w:rFonts w:ascii="Arial" w:hAnsi="Arial" w:cs="Arial"/>
          <w:rtl w:val="true"/>
        </w:rPr>
        <w:t xml:space="preserve">והתנאי הוא שהנאשם </w:t>
      </w:r>
      <w:r>
        <w:rPr>
          <w:rFonts w:ascii="Arial" w:hAnsi="Arial" w:cs="Arial"/>
          <w:rtl w:val="true"/>
        </w:rPr>
        <w:t xml:space="preserve">לא יעבור עבירה </w:t>
      </w:r>
      <w:r>
        <w:rPr>
          <w:rFonts w:ascii="Arial" w:hAnsi="Arial" w:cs="Arial"/>
          <w:rtl w:val="true"/>
        </w:rPr>
        <w:t>בנשק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1"/>
          <w:numId w:val="1"/>
        </w:numPr>
        <w:spacing w:lineRule="auto" w:line="360" w:before="0" w:after="240"/>
        <w:ind w:hanging="360" w:start="1440" w:end="0"/>
        <w:jc w:val="both"/>
        <w:rPr>
          <w:rStyle w:val="david-h1"/>
          <w:rFonts w:ascii="Arial" w:hAnsi="Arial" w:cs="Arial"/>
          <w:b/>
          <w:bCs/>
        </w:rPr>
      </w:pPr>
      <w:r>
        <w:rPr>
          <w:rStyle w:val="david-h1"/>
          <w:rFonts w:cs="Arial" w:ascii="Arial" w:hAnsi="Arial"/>
          <w:color w:val="FFFFFF"/>
          <w:sz w:val="2"/>
          <w:szCs w:val="2"/>
        </w:rPr>
        <w:t>5129371</w:t>
      </w:r>
      <w:r>
        <w:rPr>
          <w:rStyle w:val="david-h1"/>
          <w:rFonts w:ascii="Arial" w:hAnsi="Arial" w:cs="Arial"/>
          <w:rtl w:val="true"/>
        </w:rPr>
        <w:t xml:space="preserve">קנס בסך </w:t>
      </w:r>
      <w:r>
        <w:rPr>
          <w:rStyle w:val="david-h1"/>
          <w:rFonts w:cs="Arial" w:ascii="Arial" w:hAnsi="Arial"/>
        </w:rPr>
        <w:t>1</w:t>
      </w:r>
      <w:r>
        <w:rPr>
          <w:rStyle w:val="david-h1"/>
          <w:rFonts w:cs="Arial" w:ascii="Arial" w:hAnsi="Arial"/>
        </w:rPr>
        <w:t>5</w:t>
      </w:r>
      <w:r>
        <w:rPr>
          <w:rStyle w:val="david-h1"/>
          <w:rFonts w:cs="Arial" w:ascii="Arial" w:hAnsi="Arial"/>
        </w:rPr>
        <w:t>,000</w:t>
      </w:r>
      <w:r>
        <w:rPr>
          <w:rStyle w:val="david-h1"/>
          <w:rFonts w:cs="Arial" w:ascii="Arial" w:hAnsi="Arial"/>
          <w:rtl w:val="true"/>
        </w:rPr>
        <w:t xml:space="preserve"> ₪</w:t>
      </w:r>
      <w:r>
        <w:rPr>
          <w:rStyle w:val="david-h1"/>
          <w:rFonts w:cs="Arial" w:ascii="Arial" w:hAnsi="Arial"/>
          <w:rtl w:val="true"/>
        </w:rPr>
        <w:t xml:space="preserve"> </w:t>
      </w:r>
      <w:r>
        <w:rPr>
          <w:rStyle w:val="david-h1"/>
          <w:rFonts w:ascii="Arial" w:hAnsi="Arial" w:cs="Arial"/>
          <w:rtl w:val="true"/>
        </w:rPr>
        <w:t xml:space="preserve">או </w:t>
      </w:r>
      <w:r>
        <w:rPr>
          <w:rStyle w:val="david-h1"/>
          <w:rFonts w:cs="Arial" w:ascii="Arial" w:hAnsi="Arial"/>
        </w:rPr>
        <w:t>90</w:t>
      </w:r>
      <w:r>
        <w:rPr>
          <w:rStyle w:val="david-h1"/>
          <w:rFonts w:cs="Arial" w:ascii="Arial" w:hAnsi="Arial"/>
          <w:rtl w:val="true"/>
        </w:rPr>
        <w:t xml:space="preserve"> </w:t>
      </w:r>
      <w:r>
        <w:rPr>
          <w:rStyle w:val="david-h1"/>
          <w:rFonts w:ascii="Arial" w:hAnsi="Arial" w:cs="Arial"/>
          <w:rtl w:val="true"/>
        </w:rPr>
        <w:t>ימי מאסר תמורתו</w:t>
      </w:r>
      <w:r>
        <w:rPr>
          <w:rStyle w:val="david-h1"/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Style w:val="david-h1"/>
          <w:rFonts w:ascii="Arial" w:hAnsi="Arial" w:cs="Arial"/>
          <w:b/>
          <w:bCs/>
        </w:rPr>
      </w:pPr>
      <w:r>
        <w:rPr>
          <w:rStyle w:val="david-h1"/>
          <w:rFonts w:cs="Arial" w:ascii="Arial" w:hAnsi="Arial"/>
          <w:b/>
          <w:bCs/>
          <w:color w:val="FFFFFF"/>
          <w:sz w:val="2"/>
          <w:szCs w:val="2"/>
        </w:rPr>
        <w:t>546783135129371</w:t>
      </w:r>
      <w:r>
        <w:rPr>
          <w:rStyle w:val="david-h1"/>
          <w:rFonts w:ascii="Arial" w:hAnsi="Arial" w:cs="Arial"/>
          <w:b/>
          <w:b/>
          <w:bCs/>
          <w:rtl w:val="true"/>
        </w:rPr>
        <w:t xml:space="preserve">זכות ערעור לבית המשפט העליון תוך </w:t>
      </w:r>
      <w:r>
        <w:rPr>
          <w:rStyle w:val="david-h1"/>
          <w:rFonts w:cs="Arial" w:ascii="Arial" w:hAnsi="Arial"/>
          <w:b/>
          <w:bCs/>
        </w:rPr>
        <w:t>45</w:t>
      </w:r>
      <w:r>
        <w:rPr>
          <w:rStyle w:val="david-h1"/>
          <w:rFonts w:cs="Arial" w:ascii="Arial" w:hAnsi="Arial"/>
          <w:b/>
          <w:bCs/>
          <w:rtl w:val="true"/>
        </w:rPr>
        <w:t xml:space="preserve"> </w:t>
      </w:r>
      <w:r>
        <w:rPr>
          <w:rStyle w:val="david-h1"/>
          <w:rFonts w:ascii="Arial" w:hAnsi="Arial" w:cs="Arial"/>
          <w:b/>
          <w:b/>
          <w:bCs/>
          <w:rtl w:val="true"/>
        </w:rPr>
        <w:t>יום</w:t>
      </w:r>
      <w:r>
        <w:rPr>
          <w:rStyle w:val="david-h1"/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אדר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הנאשם 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ורדה מרוז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3"/>
      <w:footerReference w:type="default" r:id="rId1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33444-05-12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יעקב שרעבי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sz w:val="24"/>
        <w:b w:val="false"/>
        <w:szCs w:val="24"/>
        <w:bCs w:val="false"/>
        <w:rFonts w:ascii="Arial" w:hAnsi="Arial" w:cs="Arial"/>
      </w:rPr>
    </w:lvl>
    <w:lvl w:ilvl="1">
      <w:start w:val="1"/>
      <w:numFmt w:val="hebrew1"/>
      <w:lvlText w:val="%2."/>
      <w:lvlJc w:val="center"/>
      <w:pPr>
        <w:tabs>
          <w:tab w:val="num" w:pos="1440"/>
        </w:tabs>
        <w:ind w:start="1440" w:hanging="360"/>
      </w:pPr>
      <w:rPr>
        <w:b w:val="false"/>
        <w:bCs w:val="false"/>
        <w:rFonts w:cs="Arial"/>
      </w:rPr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Arial" w:hAnsi="Arial" w:cs="Arial"/>
      <w:b w:val="false"/>
      <w:bCs w:val="false"/>
      <w:sz w:val="24"/>
      <w:szCs w:val="24"/>
    </w:rPr>
  </w:style>
  <w:style w:type="character" w:styleId="WW8Num1z1">
    <w:name w:val="WW8Num1z1"/>
    <w:qFormat/>
    <w:rPr>
      <w:rFonts w:cs="Arial"/>
      <w:b w:val="false"/>
      <w:bCs w:val="false"/>
    </w:rPr>
  </w:style>
  <w:style w:type="character" w:styleId="WW8Num1z2">
    <w:name w:val="WW8Num1z2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aa-h">
    <w:name w:val="aa-h"/>
    <w:qFormat/>
    <w:rPr>
      <w:rFonts w:cs="Times New Roman"/>
    </w:rPr>
  </w:style>
  <w:style w:type="character" w:styleId="david-h1">
    <w:name w:val="david-h1"/>
    <w:qFormat/>
    <w:rPr>
      <w:rFonts w:ascii="Times New Roman" w:hAnsi="Times New Roman" w:cs="Times New Roman"/>
      <w:sz w:val="24"/>
    </w:rPr>
  </w:style>
  <w:style w:type="character" w:styleId="LineNumber">
    <w:name w:val="line number"/>
    <w:rPr>
      <w:sz w:val="2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d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40ja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5962283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17929065" TargetMode="External"/><Relationship Id="rId11" Type="http://schemas.openxmlformats.org/officeDocument/2006/relationships/hyperlink" Target="http://www.nevo.co.il/law/70301/40ja" TargetMode="External"/><Relationship Id="rId12" Type="http://schemas.openxmlformats.org/officeDocument/2006/relationships/hyperlink" Target="http://www.nevo.co.il/law/70301/40d.a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2016-01-24T15:31:00Z</dcterms:created>
  <dc:creator> </dc:creator>
  <dc:description/>
  <cp:keywords/>
  <dc:language>en-IL</dc:language>
  <cp:lastModifiedBy>yafit</cp:lastModifiedBy>
  <dcterms:modified xsi:type="dcterms:W3CDTF">2016-01-24T15:31:00Z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יעקב שרעבי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5962283;17929065</vt:lpwstr>
  </property>
  <property fmtid="{D5CDD505-2E9C-101B-9397-08002B2CF9AE}" pid="9" name="CITY">
    <vt:lpwstr>מרכז</vt:lpwstr>
  </property>
  <property fmtid="{D5CDD505-2E9C-101B-9397-08002B2CF9AE}" pid="10" name="DATE">
    <vt:lpwstr>20130228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ורדה מרוז</vt:lpwstr>
  </property>
  <property fmtid="{D5CDD505-2E9C-101B-9397-08002B2CF9AE}" pid="14" name="LAWLISTTMP1">
    <vt:lpwstr>70301/144.a;40ja;040d.a</vt:lpwstr>
  </property>
  <property fmtid="{D5CDD505-2E9C-101B-9397-08002B2CF9AE}" pid="15" name="LAWYER">
    <vt:lpwstr>אבירי;פורר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33444</vt:lpwstr>
  </property>
  <property fmtid="{D5CDD505-2E9C-101B-9397-08002B2CF9AE}" pid="22" name="NEWPARTB">
    <vt:lpwstr>05</vt:lpwstr>
  </property>
  <property fmtid="{D5CDD505-2E9C-101B-9397-08002B2CF9AE}" pid="23" name="NEWPARTC">
    <vt:lpwstr>12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390020130228</vt:lpwstr>
  </property>
  <property fmtid="{D5CDD505-2E9C-101B-9397-08002B2CF9AE}" pid="34" name="TYPE_N_DATE">
    <vt:lpwstr>39020130228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