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33552-09-16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עטייה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עטייה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שיינפלד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טבי</w:t>
      </w:r>
      <w:bookmarkStart w:id="3" w:name="LawTable"/>
      <w:bookmarkEnd w:id="3"/>
      <w:r>
        <w:rPr>
          <w:rFonts w:ascii="David" w:hAnsi="David"/>
          <w:color w:val="000000"/>
          <w:rtl w:val="true"/>
        </w:rPr>
        <w:t>ק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END"/>
      <w:bookmarkEnd w:id="7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5.9.16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שברשותו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ברטה</w:t>
      </w:r>
      <w:r>
        <w:rPr>
          <w:rFonts w:cs="David" w:ascii="David" w:hAnsi="David"/>
          <w:b/>
          <w:bCs/>
          <w:color w:val="000000"/>
          <w:rtl w:val="true"/>
        </w:rPr>
        <w:t xml:space="preserve">", </w:t>
      </w:r>
      <w:r>
        <w:rPr>
          <w:rFonts w:cs="David" w:ascii="David" w:hAnsi="David"/>
          <w:b/>
          <w:bCs/>
          <w:color w:val="000000"/>
        </w:rPr>
        <w:t>0.22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ומחסנית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רובה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מאולתר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דמוי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M-16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ריקה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60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5.56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והתחמושת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עטופים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ומוסלקים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שנחפר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באדמה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ומעליו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הונח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ארגז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תמונות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אסופת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שיינפלד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שברשותו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מחוז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לשוטר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התייצב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ודנ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אושפז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מחלוקת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color w:val="000000"/>
        </w:rPr>
        <w:t>49160-11-15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27417-11-15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17.01.16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ספרינגפילד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47302-09-11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6.11.11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12058-07-12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זמירו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47362-06-16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עיראקי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15.01.16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32364-03-11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30669-04-15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15.06.16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שברשותו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ברטה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cs="David" w:ascii="David" w:hAnsi="David"/>
          <w:color w:val="000000"/>
        </w:rPr>
        <w:t>0.22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5.56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עטופים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ומוסלקים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שנחפר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הונח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ארגז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דמוי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M-16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מלבד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פוחזת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2015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בחקירת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הסתבכותו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בוטלה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5.9.16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הנשק והתחמושת יושמדו או יחולטו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לפי שיקול דעת קצין 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בכפוף לכל דין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33552-09-16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פרקליטות מחוז מרכז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רמי עטייה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7791493" TargetMode="External"/><Relationship Id="rId10" Type="http://schemas.openxmlformats.org/officeDocument/2006/relationships/hyperlink" Target="http://www.nevo.co.il/case/20723375" TargetMode="External"/><Relationship Id="rId11" Type="http://schemas.openxmlformats.org/officeDocument/2006/relationships/hyperlink" Target="http://www.nevo.co.il/case/18086234" TargetMode="External"/><Relationship Id="rId12" Type="http://schemas.openxmlformats.org/officeDocument/2006/relationships/hyperlink" Target="http://www.nevo.co.il/case/20723375" TargetMode="External"/><Relationship Id="rId13" Type="http://schemas.openxmlformats.org/officeDocument/2006/relationships/hyperlink" Target="http://www.nevo.co.il/case/2857037" TargetMode="External"/><Relationship Id="rId14" Type="http://schemas.openxmlformats.org/officeDocument/2006/relationships/hyperlink" Target="http://www.nevo.co.il/case/3835321" TargetMode="External"/><Relationship Id="rId15" Type="http://schemas.openxmlformats.org/officeDocument/2006/relationships/hyperlink" Target="http://www.nevo.co.il/case/22033482" TargetMode="External"/><Relationship Id="rId16" Type="http://schemas.openxmlformats.org/officeDocument/2006/relationships/hyperlink" Target="http://www.nevo.co.il/case/2857035" TargetMode="External"/><Relationship Id="rId17" Type="http://schemas.openxmlformats.org/officeDocument/2006/relationships/hyperlink" Target="http://www.nevo.co.il/case/20206548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2017-04-13T11:07:00Z</dcterms:created>
  <dc:creator> </dc:creator>
  <dc:description/>
  <cp:keywords/>
  <dc:language>en-IL</dc:language>
  <cp:lastModifiedBy>Hofit</cp:lastModifiedBy>
  <dcterms:modified xsi:type="dcterms:W3CDTF">2017-04-13T11:07:00Z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 - פלילי</vt:lpwstr>
  </property>
  <property fmtid="{D5CDD505-2E9C-101B-9397-08002B2CF9AE}" pid="3" name="APPELLEE">
    <vt:lpwstr>רמי עטייה</vt:lpwstr>
  </property>
  <property fmtid="{D5CDD505-2E9C-101B-9397-08002B2CF9AE}" pid="4" name="CASESLISTTMP1">
    <vt:lpwstr>7791493;20723375:2;18086234;2857037;3835321;22033482;2857035;20206548</vt:lpwstr>
  </property>
  <property fmtid="{D5CDD505-2E9C-101B-9397-08002B2CF9AE}" pid="5" name="CITY">
    <vt:lpwstr>רמ'</vt:lpwstr>
  </property>
  <property fmtid="{D5CDD505-2E9C-101B-9397-08002B2CF9AE}" pid="6" name="DATE">
    <vt:lpwstr>20170406</vt:lpwstr>
  </property>
  <property fmtid="{D5CDD505-2E9C-101B-9397-08002B2CF9AE}" pid="7" name="ISABSTRACT">
    <vt:lpwstr>Y</vt:lpwstr>
  </property>
  <property fmtid="{D5CDD505-2E9C-101B-9397-08002B2CF9AE}" pid="8" name="JUDGE">
    <vt:lpwstr>ד"ר עמי קובו</vt:lpwstr>
  </property>
  <property fmtid="{D5CDD505-2E9C-101B-9397-08002B2CF9AE}" pid="9" name="LAWLISTTMP1">
    <vt:lpwstr>70301/144.a;040i;40jc;40ja</vt:lpwstr>
  </property>
  <property fmtid="{D5CDD505-2E9C-101B-9397-08002B2CF9AE}" pid="10" name="LAWYER">
    <vt:lpwstr>רמי שיינפלד;שוקרי אבו טביק</vt:lpwstr>
  </property>
  <property fmtid="{D5CDD505-2E9C-101B-9397-08002B2CF9AE}" pid="11" name="NEWPARTA">
    <vt:lpwstr>33552</vt:lpwstr>
  </property>
  <property fmtid="{D5CDD505-2E9C-101B-9397-08002B2CF9AE}" pid="12" name="NEWPARTB">
    <vt:lpwstr>09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380020170406</vt:lpwstr>
  </property>
  <property fmtid="{D5CDD505-2E9C-101B-9397-08002B2CF9AE}" pid="18" name="TYPE_N_DATE">
    <vt:lpwstr>38020170406</vt:lpwstr>
  </property>
  <property fmtid="{D5CDD505-2E9C-101B-9397-08002B2CF9AE}" pid="19" name="WORDNUMPAGES">
    <vt:lpwstr>6</vt:lpwstr>
  </property>
</Properties>
</file>