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33577-04-12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 שטרית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/>
              <w:t>33600-04-12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יוסף בן</w:t>
            </w:r>
            <w:r>
              <w:rPr>
                <w:rFonts w:eastAsia="Times New Roman" w:cs="Times New Roman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rtl w:val="true"/>
              </w:rPr>
              <w:t>חמו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מאשימה  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נאשם 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שלום שי בן שטרית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ת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ז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</w:rPr>
              <w:t>040254757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 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מטעם המאשימה 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עמוס דניאלי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מטעם הנאשם 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 xml:space="preserve">בעצמו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הובא באמצעות הליווי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וכן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יוסף רז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/>
      </w:pPr>
      <w:bookmarkStart w:id="7" w:name="PsakDin"/>
      <w:bookmarkEnd w:id="7"/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שמיעת 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>סיפא ל</w:t>
      </w:r>
      <w:hyperlink r:id="rId1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329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 ויריות באזור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9" w:name="ABSTRACT_END"/>
      <w:bookmarkEnd w:id="9"/>
      <w:r>
        <w:rPr>
          <w:rFonts w:ascii="Arial" w:hAnsi="Arial" w:cs="Arial"/>
          <w:rtl w:val="true"/>
        </w:rPr>
        <w:t>על פי עובדות כתב האישום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פגש הנאשם את המתלונן באזור מגורים בבית שאן ביום </w:t>
      </w:r>
      <w:r>
        <w:rPr>
          <w:rFonts w:cs="Arial" w:ascii="Arial" w:hAnsi="Arial"/>
        </w:rPr>
        <w:t>13/4/12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02:00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לפנות בוקר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ויכוח זרק המתלונן כוס שהיתה בידו לכיוונו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 שלף הנאשם אקדח שהיה ברשותו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החזיק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וירה לעברו של המתלונן שלוש יריות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חלפה בסמוך לראשו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השנייה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בסמוך לגבו והשלישית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שרטה את ברכו הימנית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המאשימה לעונש</w:t>
      </w:r>
      <w:r>
        <w:rPr>
          <w:rFonts w:ascii="Arial" w:hAnsi="Arial" w:cs="Arial"/>
          <w:rtl w:val="true"/>
        </w:rPr>
        <w:t xml:space="preserve"> –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הערך החברתי בו פגע הנאשם הוא זכותו של אדם לשלמות גופו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סכנת הפגיעה העולה ממעשיו של המתלונן מהכוונה שהתלוותה אליה היא קשה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ביצע עבירה שהיסוד הנפשי שלה הוא גבוה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כוונה לגורם חבלה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ירי מנשק חם הוא נסיבה מחמירה על פי הוראות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המייחס לה דרגת חומרה גבוהה יותר מהעבירה של מעשה אלימות רגיל וזאת בשל פוטנציאל הפגיעה הטמון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ירה שלוש יריות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עשיית שימוש בנשק לצורך פתרון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סכסוכים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מחייב תגובה עונשית הולמת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העבירה בוצעה במלואה על ידי הנאשם והוא האחראי לתוצאותיה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שהיה עלול להיגרם מביצוע העבירה הינו ברור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בנס לא פגעו הכדורים ולא גרמו לפגיעה קשה בגוף או בנפש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היתה כל עילה שתצדיק התנהגות כה אלימה מצד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מבין היטב את משמעות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הדברים מתחדדים נוכח עברו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העובדה שנקבעה בהכרעת הדין לפיה הנאשם הוא זה שיזם את המפגש מלמדת היטב על מידת השליטה של הנאשם במעשהו ועל יכולתו להימנע מעשיית המעשה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כאשר המתלונן ברח מהמקום המשיך הנאשם לדלוק אחריו וירה לעברו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סבורה כי מתחם העונש ההולם לעבירת האלימות – חבלה בכוונה מחמירה </w:t>
      </w:r>
      <w:r>
        <w:rPr>
          <w:rFonts w:cs="Arial" w:ascii="Arial" w:hAnsi="Arial"/>
          <w:rtl w:val="true"/>
        </w:rPr>
        <w:t xml:space="preserve">-  </w:t>
      </w:r>
      <w:r>
        <w:rPr>
          <w:rFonts w:ascii="Arial" w:hAnsi="Arial" w:cs="Arial"/>
          <w:rtl w:val="true"/>
        </w:rPr>
        <w:t>בה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</w:t>
      </w:r>
      <w:r>
        <w:rPr>
          <w:rFonts w:cs="Arial" w:ascii="Arial" w:hAnsi="Arial"/>
        </w:rPr>
        <w:t>5-7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בצירוף 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סבורה כי יש לקבוע מתחם עונש הולם נפרד לעבירת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ומהנימוקים המפורטים על ידה יש לקבוע מתחם בין </w:t>
      </w:r>
      <w:r>
        <w:rPr>
          <w:rFonts w:cs="Arial" w:ascii="Arial" w:hAnsi="Arial"/>
        </w:rPr>
        <w:t>6-8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בהן כדי להשפיע על מידת העונש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סבורה המאשימה כי אלה פועלות כולן לחובת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הפגיעה של העונש בנאשם ובמשפחתו איננה יוצאת דופן ואיננה גדולה מהפגיעה שפגע הנאשם בערכים החברתיים המוגנים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של הנאשם עבר פלילי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נטל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התאמץ לתקן את תוצאותיהם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שיתף פעולה עם רשויות אכיפת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עדות שנקבע כי איננה מהימנה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להשפיע על עדים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ליתן משקל להרתעת הרבים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ביצע את העבירה בתוך פחות משנה מאז שוחרר ממאסרו האחרון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מבקשת המאשימה להשית על הנאשם עונש מאסר המתקרב לרף העליון שבמתחם וכן עונשים נלווים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כ הנאשם</w:t>
      </w:r>
      <w:r>
        <w:rPr>
          <w:rFonts w:ascii="Arial" w:hAnsi="Arial" w:cs="Arial"/>
          <w:rtl w:val="true"/>
        </w:rPr>
        <w:t xml:space="preserve"> –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בסופו של יום לא נגרם נזק לא לאדם ולא לרכוש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האירוע ארע בשעת לילה מאוחרת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שהסיכון לפגיעה בחפים מפשע היה נמוך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כוונת הנאשם היתה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 היותר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להפחיד את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היריות חלפו בסמוך לגופו ולא פגעו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איננו אזרח תמים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עבריין שלחובתו הרשעות ושריצה עונשי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הערך החברתי של שלום הציבור לא נפגע מהותית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מתחם הענישה הראוי שיש לקבוע כאן הוא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 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להתחשב בנאשם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בגילו – כיום כבן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 מהותי מחייו הבוגרים היה בבתי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סובל מבעיית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הוריו נושאים בנטל הכלכלי הכבד של הקנסות הפליליים עבור הוצאות טיפול משפטי והוצאות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חייו של הנאשם קשות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בתיק היו מחדלי חקירה מצד רשויות החקירה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מבקשים להימנע מהטלת קנס לאור מצבו הכלכלי הירוד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  <w:r>
        <w:rPr>
          <w:rFonts w:ascii="Arial" w:hAnsi="Arial" w:cs="Arial"/>
          <w:rtl w:val="true"/>
        </w:rPr>
        <w:t xml:space="preserve"> –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שבפני מדובר בהרשעה בכמה עבירות המהוות אירוע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יקבע מתחם עונש הולם לאירוע כולו בהתאם להוראות </w:t>
      </w:r>
      <w:hyperlink r:id="rId1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יג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להוראות </w:t>
      </w:r>
      <w:hyperlink r:id="rId2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את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בשאלה מהו הערך החברתי שנפגע מביצוע העבירה ומידת הפגיעה בו וכן במדיניות הענישה הנהוגה ובנסיבות הקשורות לביצוע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הערך החברתי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בערך עליון של זכותו של אדם לחיים ולשלמות גופו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עבירת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ערך חברתי נוסף והוא שמירה על סדר השלטון והסכנה שבפגיעה בחייו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בגופו ושלמות גופו של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עבירת האלימות בה הורשע הנאשם הינה בעלת יסוד נפשי מוגבר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המצריך כוונה מיוחדת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הסכנה היא ברורה ועל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המחוקק מתייחס בחומרה יתירה לעבירות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נפסק כי על בית המשפט להעלות את תרומתו למלחמה בתופעת השימוש בנשק כדי לפגוע באדם וכדי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לפתור סכסוכים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חברתנו הפכה לאלימה יותר ותרומת בית המשפט למלחמה באלימות זו היא בהטלת עונשים ראויים והולמים </w:t>
      </w:r>
      <w:r>
        <w:rPr>
          <w:rFonts w:cs="Arial" w:ascii="Arial" w:hAnsi="Arial"/>
          <w:rtl w:val="true"/>
        </w:rPr>
        <w:t>[</w:t>
      </w:r>
      <w:hyperlink r:id="rId21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5753/04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ירון רייכן</w:t>
      </w:r>
      <w:r>
        <w:rPr>
          <w:rFonts w:cs="Arial" w:ascii="Arial" w:hAnsi="Arial"/>
          <w:b/>
          <w:bCs/>
          <w:rtl w:val="true"/>
        </w:rPr>
        <w:t xml:space="preserve">, </w:t>
      </w:r>
      <w:hyperlink r:id="rId22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2909/04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פנחס סדון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]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בעבירה של נשיאת נשק והחזקתו שלא כדין כרוכה סכנה גדולה לציבור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 היה להיגרם נזק כבד עד כדי אובדן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מן הראוי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שיוטל עונש שיהא בו כדי להרתיע את הרבים מנשיאת נשק ועשיית שימוש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המצב היום בו נשק חם הינו זמין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פוטנציאל הנזק רב עוצמה ומקים חשש להסלמה באלימות העבריינות ועל כן הוא מחייב מתן ביטוי עונשי הולם והחמרה ברמת הענישה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b/>
          <w:b/>
          <w:bCs/>
          <w:color w:val="000000"/>
          <w:rtl w:val="true"/>
        </w:rPr>
        <w:t>ע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פ </w:t>
      </w:r>
      <w:hyperlink r:id="rId23"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1332/04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רפאל פס</w:t>
      </w:r>
      <w:r>
        <w:rPr>
          <w:rFonts w:cs="Arial" w:ascii="Arial" w:hAnsi="Arial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ברור מאמור לעיל כי מדובר בערכים חברתיים חשובים שהפגיעה בהם הינה רבה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לנסיבות ביצוע העבירה </w:t>
      </w:r>
      <w:r>
        <w:rPr>
          <w:rFonts w:cs="Arial" w:ascii="Arial" w:hAnsi="Arial"/>
          <w:rtl w:val="true"/>
        </w:rPr>
        <w:t>[</w:t>
      </w:r>
      <w:hyperlink r:id="rId2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</w:hyperlink>
      <w:r>
        <w:rPr>
          <w:rFonts w:cs="Arial" w:ascii="Arial" w:hAnsi="Arial"/>
          <w:rtl w:val="true"/>
        </w:rPr>
        <w:t xml:space="preserve">] – </w:t>
      </w:r>
      <w:r>
        <w:rPr>
          <w:rFonts w:ascii="Arial" w:hAnsi="Arial" w:cs="Arial"/>
          <w:rtl w:val="true"/>
        </w:rPr>
        <w:t>העובדה שהנאשם הגיע למפגש כשהוא מצויד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 כדי להעיד על תכנון מוקדם והתכוננות לאפשרות שיהא צורך בשימוש בנשק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חלקו היחסי של הנאשם היה מכריע ועיקרי והוא אחראי באופן מלא לביצוע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שהיה עלול להיגרם ברור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בנס נמנע אסון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היתה שום סיבה שתצדיק את מעשהו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אם המתלונן שפך לעברו כוס שתיה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בתגובה קיצונית ולא פרופורציונאלית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להתייחס לכך כאל התגרות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שלאחר מכן התחיל המתלונן לברוח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איננו מוגבל מבחינת יכולתו השכלית והמנטלית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טען דבר בעניין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הוא זה שיזם את הפגישה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יש ללמוד שהוא יכול היה להימנע מעשיית המעשה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הובאו ראיות לעניין מצוקה נפשית של הנאשם או פגיעה בו על ידי המתלונן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מדיניות הענישה הנהוגה</w:t>
      </w:r>
      <w:r>
        <w:rPr>
          <w:rFonts w:ascii="Arial" w:hAnsi="Arial" w:cs="Arial"/>
          <w:rtl w:val="true"/>
        </w:rPr>
        <w:t xml:space="preserve"> –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25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2909/04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אדם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שבשל סכסוך שכנים ירה ירייה באוויר בסמוך לראשו של המתלונן ולאחר מכן ברגלו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אושפז לתקופה ארוכה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הרשעה אחת ותסקיר שירות המבחן המליץ על עונש שירוצה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</w:t>
      </w:r>
      <w:r>
        <w:rPr>
          <w:rFonts w:cs="Arial" w:ascii="Arial" w:hAnsi="Arial"/>
          <w:rtl w:val="true"/>
        </w:rPr>
        <w:t xml:space="preserve">+ </w:t>
      </w:r>
      <w:r>
        <w:rPr>
          <w:rFonts w:ascii="Arial" w:hAnsi="Arial" w:cs="Arial"/>
          <w:rtl w:val="true"/>
        </w:rPr>
        <w:t>עונשים נלווים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26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2189/98</w:t>
        </w:r>
      </w:hyperlink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סכסוך בין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הרשעה בעבירת נשק וחבלה בכוונה מחמירה בשני מקרים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הפציעה היתה משמעותית – חור בכיס השתן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עבר מכביד 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שני מקרים אלה חמורים לעומת המקרה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בתוצאות ולכן אין מקום להטיל ענישה בסדרי גודל שהוטלה בשני מקרים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27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2957/10</w:t>
        </w:r>
      </w:hyperlink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בעקבות סכסוך קודם ירה הנאשם לעבר רכב המתלוננים במטרה לפגוע בהם ולגרום להם חבלה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נגרם נזק רק לרכוש –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לאחר ניהול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</w:rPr>
        <w:t>5.5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וכן עונשים נלווים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נסיבות תיק זה קרובות יותר לתיק שבפנינו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ascii="Arial" w:hAnsi="Arial" w:cs="Arial"/>
          <w:b/>
          <w:b/>
          <w:bCs/>
          <w:color w:val="000000"/>
          <w:rtl w:val="true"/>
        </w:rPr>
        <w:t>ע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פ </w:t>
      </w:r>
      <w:r>
        <w:rPr>
          <w:rFonts w:cs="Arial" w:ascii="Arial" w:hAnsi="Arial"/>
          <w:b/>
          <w:bCs/>
          <w:color w:val="000000"/>
        </w:rPr>
        <w:t>5141/11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פלוני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סכסוך קודם ירה המשיב לעבר המתלונן ופגע בידו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 בעבירות של חבלה בכוונה מחמירה והחזקה ונשיאה של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החמיר בעונשו והעמיד אותו על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שהגיש הסניגור – </w:t>
      </w:r>
      <w:hyperlink r:id="rId28">
        <w:r>
          <w:rPr>
            <w:rStyle w:val="Hyperlink"/>
            <w:rFonts w:ascii="Arial" w:hAnsi="Arial" w:cs="Arial"/>
            <w:b/>
            <w:b/>
            <w:bCs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</w:rPr>
          <w:t>3120/04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בו דחה בית המשפט ערעור מדינה על עונש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קבע בית המשפט מפורשות כי דעתו היא שעונש זה נופל מרמת הענישה המקובלת והרצויה בעבירות אלימות בכלל ומסוג זה בפרט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עובדה זו היתה נהירה לבית משפט קמא שלא הסתיר כי קדמה להכרעתו התלבטות לא מעטה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בית משפט מצא שעומדים לזכות הנאשם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נתונים אשר מצדיקים את </w:t>
      </w:r>
      <w:r>
        <w:rPr>
          <w:rFonts w:ascii="Arial" w:hAnsi="Arial" w:cs="Arial"/>
          <w:b/>
          <w:b/>
          <w:bCs/>
          <w:rtl w:val="true"/>
        </w:rPr>
        <w:t>אי כליאתו מחדש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שם שוחרר ממעצר לאחר כ –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הפלילי איננו מכביד והחזרתו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שהינו אדם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נזקה הצפוי גדול מהתועלת הצפויה שבה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על אף שהעונש הינו מתון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היתה התערבות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המקרה שבפנינו שונה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נכנס ויוצא בשערי בית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עצור בתיק זה עד תום ההליכים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עבר פלילי מכביד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לאור האמור נראה לי כי מתחם עונש הכולל  לעבירות בהן הורשע הנאשם הינו בין </w:t>
      </w:r>
      <w:r>
        <w:rPr>
          <w:rFonts w:cs="Arial" w:ascii="Arial" w:hAnsi="Arial"/>
        </w:rPr>
        <w:t>2-6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לא נטל אחריות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הפגיעה בנאשם ובמשפחתו אינה יוצאת דופן וחריגה לעומת נאשמים אחרים אשר נדונים לעונשי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עשה מאמצים לתיקון תוצאות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הציע פיצוי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שיתף פעולה עם רשויות האכיפה ואף ניתן היה להתרשם שהעדים שהעידו היו מסויגים ומפוחדים וכי היו ניסיונות השפעה עליהם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אינני זוקף לחובתו של הנאשם את כפירתו וניהול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החייב אמנם ריצה שנות מאסר רבות בשל עבירות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לא עשה תפנית בחייו העברייניים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לעניין עבר פלילי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הנאשם מעורב בפלילים מאז היותו קטין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בהיותו קטין עבר עבירה של ניסיון לחבלה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מכן הורשע בעבירות של תקיפת 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תגרה והעלבת עובד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למ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9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499/98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בתקיפת שוטר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הפרעה לשוטר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סתם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התפרצות וגניבה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נדון למ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.</w:t>
      </w:r>
      <w:r>
        <w:rPr>
          <w:rFonts w:ascii="Arial" w:hAnsi="Arial" w:cs="Arial"/>
          <w:color w:val="000000"/>
          <w:rtl w:val="true"/>
        </w:rPr>
        <w:t>פ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cs="Arial" w:ascii="Arial" w:hAnsi="Arial"/>
          <w:color w:val="000000"/>
        </w:rPr>
        <w:t>4571/98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בתקיפה הגורמת חבלה של ממש בנסיבות מחמירות והדחה בחקירה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נדון לקנס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התחייבות והארכת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.</w:t>
      </w:r>
      <w:r>
        <w:rPr>
          <w:rFonts w:ascii="Arial" w:hAnsi="Arial" w:cs="Arial"/>
          <w:color w:val="000000"/>
          <w:rtl w:val="true"/>
        </w:rPr>
        <w:t>פ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cs="Arial" w:ascii="Arial" w:hAnsi="Arial"/>
          <w:color w:val="000000"/>
        </w:rPr>
        <w:t>2210/01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בהעלבת עובד 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הפרת הוראה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0">
        <w:r>
          <w:rPr>
            <w:rStyle w:val="Hyperlink"/>
            <w:rFonts w:ascii="Arial" w:hAnsi="Arial" w:cs="Arial"/>
            <w:rtl w:val="true"/>
          </w:rPr>
          <w:t>ת</w:t>
        </w:r>
        <w:r>
          <w:rPr>
            <w:rStyle w:val="Hyperlink"/>
            <w:rFonts w:cs="Arial" w:ascii="Arial" w:hAnsi="Arial"/>
            <w:rtl w:val="true"/>
          </w:rPr>
          <w:t>.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 xml:space="preserve">. </w:t>
        </w:r>
        <w:r>
          <w:rPr>
            <w:rStyle w:val="Hyperlink"/>
            <w:rFonts w:cs="Arial" w:ascii="Arial" w:hAnsi="Arial"/>
          </w:rPr>
          <w:t>280/04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בעבירות סמים והחזקת סכין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.</w:t>
      </w:r>
      <w:r>
        <w:rPr>
          <w:rFonts w:ascii="Arial" w:hAnsi="Arial" w:cs="Arial"/>
          <w:color w:val="000000"/>
          <w:rtl w:val="true"/>
        </w:rPr>
        <w:t>פ</w:t>
      </w:r>
      <w:r>
        <w:rPr>
          <w:rFonts w:cs="Arial" w:ascii="Arial" w:hAnsi="Arial"/>
          <w:color w:val="000000"/>
          <w:rtl w:val="true"/>
        </w:rPr>
        <w:t>. [</w:t>
      </w:r>
      <w:r>
        <w:rPr>
          <w:rFonts w:ascii="Arial" w:hAnsi="Arial" w:cs="Arial"/>
          <w:color w:val="000000"/>
          <w:rtl w:val="true"/>
        </w:rPr>
        <w:t>מחוזי נצרת</w:t>
      </w:r>
      <w:r>
        <w:rPr>
          <w:rFonts w:cs="Arial" w:ascii="Arial" w:hAnsi="Arial"/>
          <w:color w:val="000000"/>
          <w:rtl w:val="true"/>
        </w:rPr>
        <w:t xml:space="preserve">] </w:t>
      </w:r>
      <w:r>
        <w:rPr>
          <w:rFonts w:cs="Arial" w:ascii="Arial" w:hAnsi="Arial"/>
          <w:color w:val="000000"/>
        </w:rPr>
        <w:t>14/08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נדון ל –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שהורשע בשוד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סכין והפרעה לשוטר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הרשעתו האחרונה היתה ב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.</w:t>
      </w:r>
      <w:r>
        <w:rPr>
          <w:rFonts w:ascii="Arial" w:hAnsi="Arial" w:cs="Arial"/>
          <w:color w:val="000000"/>
          <w:rtl w:val="true"/>
        </w:rPr>
        <w:t>פ</w:t>
      </w:r>
      <w:r>
        <w:rPr>
          <w:rFonts w:cs="Arial" w:ascii="Arial" w:hAnsi="Arial"/>
          <w:color w:val="000000"/>
          <w:rtl w:val="true"/>
        </w:rPr>
        <w:t xml:space="preserve">. </w:t>
      </w:r>
      <w:r>
        <w:rPr>
          <w:rFonts w:cs="Arial" w:ascii="Arial" w:hAnsi="Arial"/>
          <w:color w:val="000000"/>
        </w:rPr>
        <w:t>53522/09/11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החזקת סכין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לאחר ששקלתי את מכלול נסיבות ביצוע העבירה ואת הנסיבות שאינן קשורות לביצוע העבירה ובהתחשב בפסיקה ובצורך להרתיע את הנאשם ואת הרבים </w:t>
      </w:r>
      <w:r>
        <w:rPr>
          <w:rFonts w:cs="Arial" w:ascii="Arial" w:hAnsi="Arial"/>
          <w:rtl w:val="true"/>
        </w:rPr>
        <w:t>[</w:t>
      </w:r>
      <w:hyperlink r:id="rId3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ו</w:t>
        </w:r>
      </w:hyperlink>
      <w:r>
        <w:rPr>
          <w:rFonts w:cs="Arial" w:ascii="Arial" w:hAnsi="Arial"/>
          <w:rtl w:val="true"/>
        </w:rPr>
        <w:t xml:space="preserve">, </w:t>
      </w:r>
      <w:hyperlink r:id="rId32">
        <w:r>
          <w:rPr>
            <w:rStyle w:val="Hyperlink"/>
            <w:rFonts w:cs="Arial" w:ascii="Arial" w:hAnsi="Arial"/>
            <w:color w:val="0000FF"/>
            <w:u w:val="single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כשתקופת המאסר תימנה החל מיום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של שנתיים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 אם יעבור עבירה מהעבירות בהן הורשע בתיק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מצבו הסוציואקונומי כפי שטען בא 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אינני מטיל על הנאשם 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זכות ערעור בתוך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יום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31/01/2013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יוסף בן חמו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יוסף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בן</w:t>
            </w:r>
            <w:r>
              <w:rPr>
                <w:rFonts w:eastAsia="Times New Roman" w:cs="Times New Roman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rtl w:val="true"/>
              </w:rPr>
              <w:t>חמו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0" w:name="_GoBack"/>
      <w:bookmarkEnd w:id="10"/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33577-04-12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שלום שי בן שטרית</w:t>
    </w:r>
    <w:r>
      <w:rPr>
        <w:color w:val="000000"/>
        <w:sz w:val="22"/>
        <w:szCs w:val="22"/>
        <w:rtl w:val="true"/>
      </w:rPr>
      <w:t>,</w:t>
    </w:r>
  </w:p>
</w:hdr>
</file>

<file path=word/settings.xml><?xml version="1.0" encoding="utf-8"?>
<w:settings xmlns:w="http://schemas.openxmlformats.org/wordprocessingml/2006/main">
  <w:zoom w:percent="19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f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29" TargetMode="External"/><Relationship Id="rId10" Type="http://schemas.openxmlformats.org/officeDocument/2006/relationships/hyperlink" Target="http://www.nevo.co.il/law/70301/329.a.2" TargetMode="External"/><Relationship Id="rId11" Type="http://schemas.openxmlformats.org/officeDocument/2006/relationships/hyperlink" Target="http://www.nevo.co.il/law/70301/340.a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329.a.2" TargetMode="External"/><Relationship Id="rId17" Type="http://schemas.openxmlformats.org/officeDocument/2006/relationships/hyperlink" Target="http://www.nevo.co.il/law/70301/340.a" TargetMode="External"/><Relationship Id="rId18" Type="http://schemas.openxmlformats.org/officeDocument/2006/relationships/hyperlink" Target="http://www.nevo.co.il/law/70301/329" TargetMode="External"/><Relationship Id="rId19" Type="http://schemas.openxmlformats.org/officeDocument/2006/relationships/hyperlink" Target="http://www.nevo.co.il/law/70301/40jc" TargetMode="External"/><Relationship Id="rId20" Type="http://schemas.openxmlformats.org/officeDocument/2006/relationships/hyperlink" Target="http://www.nevo.co.il/law/70301/40c.a" TargetMode="External"/><Relationship Id="rId21" Type="http://schemas.openxmlformats.org/officeDocument/2006/relationships/hyperlink" Target="http://www.nevo.co.il/case/6030667" TargetMode="External"/><Relationship Id="rId22" Type="http://schemas.openxmlformats.org/officeDocument/2006/relationships/hyperlink" Target="http://www.nevo.co.il/case/5864075" TargetMode="External"/><Relationship Id="rId23" Type="http://schemas.openxmlformats.org/officeDocument/2006/relationships/hyperlink" Target="http://www.nevo.co.il/case/5762686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case/5864075" TargetMode="External"/><Relationship Id="rId26" Type="http://schemas.openxmlformats.org/officeDocument/2006/relationships/hyperlink" Target="http://www.nevo.co.il/case/5817862" TargetMode="External"/><Relationship Id="rId27" Type="http://schemas.openxmlformats.org/officeDocument/2006/relationships/hyperlink" Target="http://www.nevo.co.il/case/5866847" TargetMode="External"/><Relationship Id="rId28" Type="http://schemas.openxmlformats.org/officeDocument/2006/relationships/hyperlink" Target="http://www.nevo.co.il/case/5877504" TargetMode="External"/><Relationship Id="rId29" Type="http://schemas.openxmlformats.org/officeDocument/2006/relationships/hyperlink" Target="http://www.nevo.co.il/case/5703794" TargetMode="External"/><Relationship Id="rId30" Type="http://schemas.openxmlformats.org/officeDocument/2006/relationships/hyperlink" Target="http://www.nevo.co.il/case/5689502" TargetMode="External"/><Relationship Id="rId31" Type="http://schemas.openxmlformats.org/officeDocument/2006/relationships/hyperlink" Target="http://www.nevo.co.il/law/70301/40f" TargetMode="External"/><Relationship Id="rId32" Type="http://schemas.openxmlformats.org/officeDocument/2006/relationships/hyperlink" Target="http://www.nevo.co.il/law/70301/40g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2016-01-24T15:28:00Z</dcterms:created>
  <dc:creator> </dc:creator>
  <dc:description/>
  <cp:keywords/>
  <dc:language>en-IL</dc:language>
  <cp:lastModifiedBy>yafit</cp:lastModifiedBy>
  <dcterms:modified xsi:type="dcterms:W3CDTF">2016-01-24T15:28:00Z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שלום שי בן שטרית,</vt:lpwstr>
  </property>
  <property fmtid="{D5CDD505-2E9C-101B-9397-08002B2CF9AE}" pid="4" name="CASENOTES1">
    <vt:lpwstr>ProcID=133;209&amp;PartA=1332&amp;PartC=04</vt:lpwstr>
  </property>
  <property fmtid="{D5CDD505-2E9C-101B-9397-08002B2CF9AE}" pid="5" name="CASENOTES2">
    <vt:lpwstr>ProcID=133;209&amp;PartA=5141&amp;PartC=11</vt:lpwstr>
  </property>
  <property fmtid="{D5CDD505-2E9C-101B-9397-08002B2CF9AE}" pid="6" name="CASENOTES3">
    <vt:lpwstr>ProcID=209&amp;PartA=4571&amp;PartC=98</vt:lpwstr>
  </property>
  <property fmtid="{D5CDD505-2E9C-101B-9397-08002B2CF9AE}" pid="7" name="CASENOTES4">
    <vt:lpwstr>ProcID=209&amp;PartA=2210&amp;PartC=01</vt:lpwstr>
  </property>
  <property fmtid="{D5CDD505-2E9C-101B-9397-08002B2CF9AE}" pid="8" name="CASENOTES5">
    <vt:lpwstr>ProcID=209&amp;PartA=14&amp;PartC=08</vt:lpwstr>
  </property>
  <property fmtid="{D5CDD505-2E9C-101B-9397-08002B2CF9AE}" pid="9" name="CASENOTES6">
    <vt:lpwstr>ProcID=209&amp;PartA=53522&amp;PartC=09/11</vt:lpwstr>
  </property>
  <property fmtid="{D5CDD505-2E9C-101B-9397-08002B2CF9AE}" pid="10" name="CASESLISTTMP1">
    <vt:lpwstr>6030667;5864075:2;5817862;5866847;5877504;5703794;5689502</vt:lpwstr>
  </property>
  <property fmtid="{D5CDD505-2E9C-101B-9397-08002B2CF9AE}" pid="11" name="CITY">
    <vt:lpwstr>נצ'</vt:lpwstr>
  </property>
  <property fmtid="{D5CDD505-2E9C-101B-9397-08002B2CF9AE}" pid="12" name="DATE">
    <vt:lpwstr>20130131</vt:lpwstr>
  </property>
  <property fmtid="{D5CDD505-2E9C-101B-9397-08002B2CF9AE}" pid="13" name="ISABSTRACT">
    <vt:lpwstr>Y</vt:lpwstr>
  </property>
  <property fmtid="{D5CDD505-2E9C-101B-9397-08002B2CF9AE}" pid="14" name="JUDGE">
    <vt:lpwstr>יוסף בן חמו</vt:lpwstr>
  </property>
  <property fmtid="{D5CDD505-2E9C-101B-9397-08002B2CF9AE}" pid="15" name="LAWLISTTMP1">
    <vt:lpwstr>70301/144.a;144.b;329.a.2;340.a;329;40jc;040c.a;040i;040f;040g</vt:lpwstr>
  </property>
  <property fmtid="{D5CDD505-2E9C-101B-9397-08002B2CF9AE}" pid="16" name="LAWYER">
    <vt:lpwstr>הליווי] וכן;[הובא הליווי] וכן יוסף רז;עמוס דניאלי</vt:lpwstr>
  </property>
  <property fmtid="{D5CDD505-2E9C-101B-9397-08002B2CF9AE}" pid="17" name="NEWPARTA">
    <vt:lpwstr>33577</vt:lpwstr>
  </property>
  <property fmtid="{D5CDD505-2E9C-101B-9397-08002B2CF9AE}" pid="18" name="NEWPARTB">
    <vt:lpwstr>04</vt:lpwstr>
  </property>
  <property fmtid="{D5CDD505-2E9C-101B-9397-08002B2CF9AE}" pid="19" name="NEWPARTC">
    <vt:lpwstr>12</vt:lpwstr>
  </property>
  <property fmtid="{D5CDD505-2E9C-101B-9397-08002B2CF9AE}" pid="20" name="NEWPROC">
    <vt:lpwstr>תפ</vt:lpwstr>
  </property>
  <property fmtid="{D5CDD505-2E9C-101B-9397-08002B2CF9AE}" pid="21" name="PSAKDIN">
    <vt:lpwstr>גזר-דין</vt:lpwstr>
  </property>
  <property fmtid="{D5CDD505-2E9C-101B-9397-08002B2CF9AE}" pid="22" name="TYPE">
    <vt:lpwstr>2</vt:lpwstr>
  </property>
  <property fmtid="{D5CDD505-2E9C-101B-9397-08002B2CF9AE}" pid="23" name="TYPE_ABS_DATE">
    <vt:lpwstr>390020130131</vt:lpwstr>
  </property>
  <property fmtid="{D5CDD505-2E9C-101B-9397-08002B2CF9AE}" pid="24" name="TYPE_N_DATE">
    <vt:lpwstr>39020130131</vt:lpwstr>
  </property>
  <property fmtid="{D5CDD505-2E9C-101B-9397-08002B2CF9AE}" pid="25" name="WORDNUMPAGES">
    <vt:lpwstr>5</vt:lpwstr>
  </property>
</Properties>
</file>