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33774-05-23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סלאמה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ל</w:t>
            </w:r>
            <w:r>
              <w:rPr>
                <w:rFonts w:ascii="David" w:hAnsi="David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באמצעות פרקליטות מחוז ירושלים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מוסא סלאמה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9" w:name="ABSTRACT_START"/>
      <w:bookmarkStart w:id="10" w:name="ABSTRACT_START"/>
      <w:bookmarkEnd w:id="10"/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הורשע על פי הודאתו ובמסגרת הסדר טעון בכתב אישום מתוקן בעבירה של החזקת נשק לפי </w:t>
      </w:r>
      <w:hyperlink r:id="rId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הנטען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הינו בעלים של חברה אשר משרדיה ממוקמים ברחוב ואדי אל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וז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בירושלים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ascii="Arial" w:hAnsi="Arial" w:cs="Arial"/>
          <w:rtl w:val="true"/>
        </w:rPr>
        <w:t xml:space="preserve">עובר ליום </w:t>
      </w:r>
      <w:r>
        <w:rPr>
          <w:rFonts w:cs="Arial" w:ascii="Arial" w:hAnsi="Arial"/>
        </w:rPr>
        <w:t>29.4.2023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סכסוך בין משפחת אבו עסב למשפחת סלאמה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מסיבות שאינן ידועות למאשימה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29.4.2023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14:00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התקהלו הנאשם ואחרים במשרד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 במטרה להיערך לסכסוך עם משפחת אבו עסב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שחלקם מחזיקים אלות וגז מדמיע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סמוך למתואר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הוחזק במשרדו של הנאשם אקדח חצי אוטומט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 מסוג בארטה תוצרת איטליה קליבר </w:t>
      </w:r>
      <w:r>
        <w:rPr>
          <w:rFonts w:cs="David" w:ascii="David" w:hAnsi="David"/>
          <w:sz w:val="22"/>
          <w:szCs w:val="22"/>
        </w:rPr>
        <w:t>22</w:t>
      </w:r>
      <w:r>
        <w:rPr>
          <w:rFonts w:cs="David" w:ascii="David" w:hAnsi="David"/>
          <w:sz w:val="22"/>
          <w:szCs w:val="22"/>
        </w:rPr>
        <w:t>LR</w:t>
      </w:r>
      <w:r>
        <w:rPr>
          <w:rFonts w:cs="David" w:ascii="David" w:hAnsi="David"/>
          <w:sz w:val="22"/>
          <w:szCs w:val="22"/>
        </w:rPr>
        <w:t xml:space="preserve"> 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סידורי </w:t>
      </w:r>
      <w:r>
        <w:rPr>
          <w:rFonts w:cs="David" w:ascii="David" w:hAnsi="David"/>
          <w:sz w:val="22"/>
          <w:szCs w:val="22"/>
        </w:rPr>
        <w:t>A27804U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יורה ובכוחו להמית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מחסנית בגוף האקדח ובתוכה תשעה כדורים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16:22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באסם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אעפרה לחדר הנמצא במשרד כשהוא נושא את האקדח בידיו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עם מסכה על צווארו וכפפה מכסה את ידו הימנית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אדם אחר שזהותו 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הכניס לחדר פיסת בד ורודה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אז יצא באסם מהחדר שהוא מחזיק בידו הימנית את האקדח ובידו השמאלית את פיסת הבד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באסם הסתובב במשרד מספר דקות כאשר הוא מחזיק את האקדח ומנקה אותו באמצעות פיסת הבד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אז ניגש הנאשם לבאסם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לקח את האקדח וניקה אותו באמצעות פיסת הבד בין השעות </w:t>
      </w:r>
      <w:r>
        <w:rPr>
          <w:rFonts w:cs="Arial" w:ascii="Arial" w:hAnsi="Arial"/>
        </w:rPr>
        <w:t>16:23:20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16:23:28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 מהמשרד ובאסם מספר שניות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והשניים חזרו לאחר מספר דקות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בזמן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 הנאשם ובאסם את האקדח לתוך ארגז הנמצא בפתח המשרד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גבי מדפים המשמשים את המשרד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16:37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נכנסו שוטרים לתוך המשרד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ובשעה </w:t>
      </w:r>
      <w:r>
        <w:rPr>
          <w:rFonts w:cs="Arial" w:ascii="Arial" w:hAnsi="Arial"/>
        </w:rPr>
        <w:t>16:44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נתפס האקדח על ידי השוטרים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סוכם בין הצדדים כי הטעון לעונש היה חופשי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ושהנאשם יוכל לטעון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למאשימה ראיות לכך שהנשק היה מלכתחילה במשרד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והמאשימה לא תביא ראיות לסתור זאת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שהערכים בהם פגע הנאשם הינם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ביטחונו ושלטון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בעת הזו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שימוש נרחב בכלי נשק שאינם חוקיים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ביקשה לקבוע את המתחם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בהן המדובר בהחזקה אקטיבית מצד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פוטנציאל סיכון גבוה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נוכח הסכסוך הקיים כפי המתואר באישום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רישום בעבירת ביטחון משנת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ביקשה המאשימה להטיל על הנאשם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ענישה נלווית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הסנגור המדובר בהחזקה רגעית של נשק למשך מספר שניות בודדות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ובנוסף החזקה קונסטרוקטיבית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למשך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כן יכול וייחשב הדבר כנסיבה לקולא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כך בהתאם לפסיקה אותה הגיש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בכלי נשק שאינו שייך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הוחזק במקום לצורך 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לא נעשה בו כל 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 ביקש הסנגור לקבוע את המתחם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ולהסתפק בתקופת המעצר בה נתון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בהתייחס לנסיבותיו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כי בבעלות הנאשם חברה המספקת מוצרי חלב לכל אזור עוטף ירושלים ובשטחי האזור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ביקש לשוב למשפחתו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ולהסתפק בתקופת המעצר אותה ריצה עד כה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הערך החברתי המוגן העומד בבסיס עבירות הנשק </w:t>
      </w:r>
      <w:r>
        <w:rPr>
          <w:rFonts w:ascii="Arial" w:hAnsi="Arial" w:cs="Arial"/>
          <w:rtl w:val="true"/>
        </w:rPr>
        <w:t>הינו ה</w:t>
      </w:r>
      <w:r>
        <w:rPr>
          <w:rFonts w:ascii="Arial" w:hAnsi="Arial" w:cs="Arial"/>
          <w:rtl w:val="true"/>
        </w:rPr>
        <w:t>הגנה על שלום הציבור וביטחונו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גלום סיכון רב לשימוש בנשק שאינ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חוקי על ידי המחזיק ב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לצורך ביצוע</w:t>
      </w:r>
      <w:r>
        <w:rPr>
          <w:rFonts w:ascii="Arial" w:hAnsi="Arial" w:cs="Arial"/>
          <w:rtl w:val="true"/>
        </w:rPr>
        <w:t>ן של</w:t>
      </w:r>
      <w:r>
        <w:rPr>
          <w:rFonts w:ascii="Arial" w:hAnsi="Arial" w:cs="Arial"/>
          <w:rtl w:val="true"/>
        </w:rPr>
        <w:t xml:space="preserve"> עבירות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</w:t>
      </w:r>
      <w:r>
        <w:rPr>
          <w:rFonts w:ascii="Arial" w:hAnsi="Arial" w:cs="Arial"/>
          <w:rtl w:val="true"/>
        </w:rPr>
        <w:t xml:space="preserve">וא </w:t>
      </w:r>
      <w:r>
        <w:rPr>
          <w:rFonts w:ascii="Arial" w:hAnsi="Arial" w:cs="Arial"/>
          <w:rtl w:val="true"/>
        </w:rPr>
        <w:t>עלול להגיע לגורמים עברייניים העוסקים בפעילות פלילית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אף חמור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לביצוע עבירות ביטחון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סוכם בין הצדדים כי הנאשם יוכל לטעון שכלי הנשק לא הוחזק מלכתחילה במשרדו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והמאשימה לא תביא ראיות לסתור זאת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משקל בקביעת המתחם שכן אין בנסיבות האירוע כדי ללמד על החזקה בכלי הנשק במשרדו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טרם המתואר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לא שכלי הנשק הובא על ידי הנאשם בשלב כלשהו למשרד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שבשלב מסוים ולמשך מספר שניות גם הנאשם החזיק בו באופן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ומשך זמן רב יותר של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דקות ההחזקה הינה קונסטרוקטיבית מכוח הימצאותו של האקדח במשרד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ובסיומו של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הנשק והתחמושת נתפסו על ידי </w:t>
      </w:r>
      <w:r>
        <w:rPr>
          <w:rFonts w:ascii="Arial" w:hAnsi="Arial" w:cs="Arial"/>
          <w:rtl w:val="true"/>
        </w:rPr>
        <w:t>כוח שיטור שהגיע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מן העבר השני יש להביא בחשבון את העובדה שהצטיידות בכלי נשק חם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אקדח טעון במחסנית עם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תואמים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מבסס רף חומרה גבוה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ודאי בנסיבות בהן הרקע למעשה נעוץ היה בסכסוך בין משפחת הנאשם למשפחה אחרת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באותו מעמד נכחו במשרד אנשים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זולת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היערכות לסכסוך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כשברשותם אלות וגז מדמיע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התיאור העובדתי באשר לאופן התנהלותו של באסם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ונוכחותו במשרד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ascii="Arial" w:hAnsi="Arial" w:cs="Arial"/>
          <w:rtl w:val="true"/>
        </w:rPr>
        <w:t xml:space="preserve">אשר </w:t>
      </w:r>
      <w:r>
        <w:rPr>
          <w:rFonts w:ascii="Arial" w:hAnsi="Arial" w:cs="Arial"/>
          <w:rtl w:val="true"/>
        </w:rPr>
        <w:t>הוא נושא את האקדח בידיו עם מסכה על צווארו וכפפה מכסה את ידו הימנית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מלמדת על התארגנות לקראת אירוע 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כאמור לא ישב בחיבוק ידיים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לקח בשלב מסוים את הנשק מבאסם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החזיקו למשך מספר שניות תוך שהוא מנקה אותו באמצעות פיסת 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הניחו אותו שניהם בארגז המצוי בכניסה למשרד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5613/20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אלהוזייל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25.8.2020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ציין בית המשפט את הדברים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לגופם של דברים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למרבה הצער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2"/>
          <w:rtl w:val="true"/>
        </w:rPr>
        <w:t>כתוצאה מכך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על מנת לשדר מסר מרתיע מפני ביצוען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ראו למשל ב</w:t>
      </w:r>
      <w:hyperlink r:id="rId8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4406/19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סובח</w:t>
      </w:r>
      <w:r>
        <w:rPr>
          <w:rFonts w:cs="Arial" w:ascii="Arial" w:hAnsi="Arial"/>
          <w:sz w:val="22"/>
          <w:szCs w:val="22"/>
          <w:rtl w:val="true"/>
        </w:rPr>
        <w:t>, [</w:t>
      </w:r>
      <w:r>
        <w:rPr>
          <w:rFonts w:ascii="Arial" w:hAnsi="Arial" w:cs="Arial"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sz w:val="22"/>
          <w:szCs w:val="22"/>
          <w:rtl w:val="true"/>
        </w:rPr>
        <w:t xml:space="preserve">]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פסקאות </w:t>
      </w:r>
      <w:r>
        <w:rPr>
          <w:rFonts w:cs="Arial" w:ascii="Arial" w:hAnsi="Arial"/>
          <w:sz w:val="22"/>
          <w:szCs w:val="22"/>
        </w:rPr>
        <w:t>16</w:t>
      </w:r>
      <w:r>
        <w:rPr>
          <w:rFonts w:cs="Arial" w:ascii="Arial" w:hAnsi="Arial"/>
          <w:sz w:val="22"/>
          <w:szCs w:val="22"/>
          <w:rtl w:val="true"/>
        </w:rPr>
        <w:t>–</w:t>
      </w:r>
      <w:r>
        <w:rPr>
          <w:rFonts w:cs="Arial" w:ascii="Arial" w:hAnsi="Arial"/>
          <w:sz w:val="22"/>
          <w:szCs w:val="22"/>
        </w:rPr>
        <w:t>17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לחוות דעתי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cs="Arial" w:ascii="Arial" w:hAnsi="Arial"/>
          <w:sz w:val="22"/>
          <w:szCs w:val="22"/>
        </w:rPr>
        <w:t>5.11.2019</w:t>
      </w:r>
      <w:r>
        <w:rPr>
          <w:rFonts w:cs="Arial" w:ascii="Arial" w:hAnsi="Arial"/>
          <w:sz w:val="22"/>
          <w:szCs w:val="22"/>
          <w:rtl w:val="true"/>
        </w:rPr>
        <w:t xml:space="preserve">); </w:t>
      </w:r>
      <w:hyperlink r:id="rId9"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2"/>
            <w:szCs w:val="22"/>
            <w:u w:val="single"/>
          </w:rPr>
          <w:t>7344/18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מג</w:t>
      </w:r>
      <w:r>
        <w:rPr>
          <w:rFonts w:cs="Arial" w:ascii="Arial" w:hAnsi="Arial"/>
          <w:sz w:val="22"/>
          <w:szCs w:val="22"/>
          <w:rtl w:val="true"/>
        </w:rPr>
        <w:t>'</w:t>
      </w:r>
      <w:r>
        <w:rPr>
          <w:rFonts w:ascii="Arial" w:hAnsi="Arial" w:cs="Arial"/>
          <w:sz w:val="22"/>
          <w:sz w:val="22"/>
          <w:szCs w:val="22"/>
          <w:rtl w:val="true"/>
        </w:rPr>
        <w:t>יד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>, [</w:t>
      </w:r>
      <w:r>
        <w:rPr>
          <w:rFonts w:ascii="Arial" w:hAnsi="Arial" w:cs="Arial"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sz w:val="22"/>
          <w:szCs w:val="22"/>
          <w:rtl w:val="true"/>
        </w:rPr>
        <w:t xml:space="preserve">]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פסקה </w:t>
      </w:r>
      <w:r>
        <w:rPr>
          <w:rFonts w:cs="Arial" w:ascii="Arial" w:hAnsi="Arial"/>
          <w:sz w:val="22"/>
          <w:szCs w:val="22"/>
        </w:rPr>
        <w:t>10</w:t>
      </w:r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cs="Arial" w:ascii="Arial" w:hAnsi="Arial"/>
          <w:sz w:val="22"/>
          <w:szCs w:val="22"/>
        </w:rPr>
        <w:t>21.10.2018</w:t>
      </w:r>
      <w:r>
        <w:rPr>
          <w:rFonts w:cs="Arial" w:ascii="Arial" w:hAnsi="Arial"/>
          <w:sz w:val="22"/>
          <w:szCs w:val="22"/>
          <w:rtl w:val="true"/>
        </w:rPr>
        <w:t>))".</w:t>
      </w:r>
    </w:p>
    <w:p>
      <w:pPr>
        <w:pStyle w:val="Normal"/>
        <w:spacing w:lineRule="auto" w:line="360"/>
        <w:ind w:start="720"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ascii="Arial" w:hAnsi="Arial" w:cs="Arial"/>
          <w:rtl w:val="true"/>
        </w:rPr>
        <w:t>וראו גם</w:t>
      </w:r>
      <w:r>
        <w:rPr>
          <w:rFonts w:cs="Arial" w:ascii="Arial" w:hAnsi="Arial"/>
          <w:rtl w:val="true"/>
        </w:rPr>
        <w:t xml:space="preserve">: 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8416/09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חרבוש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9.6.2010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חומרתה של עבירת החזקת הנשק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מקורה בכך שעבירה זאת אינה נעשית לרוב אלא כדי לאפשר ביצוען של עבירות אחרות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שמעצם טבעו של הנשק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כרוכות באלימות או בהפחדה</w:t>
      </w:r>
      <w:r>
        <w:rPr>
          <w:rFonts w:cs="Arial" w:ascii="Arial" w:hAnsi="Arial"/>
          <w:sz w:val="22"/>
          <w:szCs w:val="22"/>
          <w:rtl w:val="true"/>
        </w:rPr>
        <w:t xml:space="preserve">. </w:t>
      </w:r>
      <w:r>
        <w:rPr>
          <w:rFonts w:cs="Arial" w:ascii="Arial" w:hAnsi="Arial"/>
          <w:sz w:val="22"/>
          <w:szCs w:val="22"/>
          <w:rtl w:val="true"/>
        </w:rPr>
        <w:t>...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כפי שציינה חברתי הנשיאה ד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ביניש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מחייבת מתן ביטוי עונשי הולם והחמרה ברמת הענישה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ראו ע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 </w:t>
      </w:r>
      <w:r>
        <w:rPr>
          <w:rFonts w:cs="Arial" w:ascii="Arial" w:hAnsi="Arial"/>
          <w:sz w:val="22"/>
          <w:szCs w:val="22"/>
        </w:rPr>
        <w:t>1332/04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פס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סעיף </w:t>
      </w:r>
      <w:r>
        <w:rPr>
          <w:rFonts w:cs="Arial" w:ascii="Arial" w:hAnsi="Arial"/>
          <w:sz w:val="22"/>
          <w:szCs w:val="22"/>
        </w:rPr>
        <w:t>4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cs="Arial" w:ascii="Arial" w:hAnsi="Arial"/>
          <w:sz w:val="22"/>
          <w:szCs w:val="22"/>
        </w:rPr>
        <w:t>19.4.04</w:t>
      </w:r>
      <w:r>
        <w:rPr>
          <w:rFonts w:cs="Arial" w:ascii="Arial" w:hAnsi="Arial"/>
          <w:sz w:val="22"/>
          <w:szCs w:val="22"/>
          <w:rtl w:val="true"/>
        </w:rPr>
        <w:t xml:space="preserve">). </w:t>
      </w:r>
      <w:r>
        <w:rPr>
          <w:rFonts w:ascii="Arial" w:hAnsi="Arial" w:cs="Arial"/>
          <w:sz w:val="22"/>
          <w:sz w:val="22"/>
          <w:szCs w:val="22"/>
          <w:rtl w:val="true"/>
        </w:rPr>
        <w:t>יש לעשות כן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עוד בטרם ייעשה באקדח שימוש קטלני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באמצעות הרחקת המחזיק בו מן החברה לפרק זמן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והעברת מסר מרתיע באמצעות עונש מאסר ממשי לריצוי בפועל</w:t>
      </w:r>
      <w:r>
        <w:rPr>
          <w:rFonts w:cs="Arial" w:ascii="Arial" w:hAnsi="Arial"/>
          <w:sz w:val="22"/>
          <w:szCs w:val="22"/>
          <w:rtl w:val="true"/>
        </w:rPr>
        <w:t>...".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סקירת מדיניות הענישה הנהוגה בעבירת החזקת נשק מלמדת על טווח ענישה רחב התלוי לרוב בנסיבותיו של כל מקרה ומקרה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545/20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3.5.21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ערעור על חומרת עונש </w:t>
      </w:r>
      <w:r>
        <w:rPr>
          <w:rFonts w:ascii="Arial" w:hAnsi="Arial" w:cs="Arial"/>
          <w:rtl w:val="true"/>
        </w:rPr>
        <w:t xml:space="preserve">של נאשם עליו הוטלו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רישום פלילי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באחזק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/ 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שיאת אקדח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>מחסנית תואמת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נאסר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5.10.11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ערעור על חומרת עונשו של נאשם עליו הוטלו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שהמערער הורשע </w:t>
      </w:r>
      <w:r>
        <w:rPr>
          <w:rFonts w:ascii="Arial" w:hAnsi="Arial" w:cs="Arial"/>
          <w:rtl w:val="true"/>
        </w:rPr>
        <w:t>בביצוע עבירה של החזקת נשק ותחמושת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אקדח ומחסנית לאקדח ובה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6294/10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אלקיעאן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13.2.11</w:t>
      </w:r>
      <w:r>
        <w:rPr>
          <w:rFonts w:cs="Arial" w:ascii="Arial" w:hAnsi="Arial"/>
          <w:rtl w:val="true"/>
        </w:rPr>
        <w:t>),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ערעור</w:t>
      </w:r>
      <w:r>
        <w:rPr>
          <w:rFonts w:ascii="Arial" w:hAnsi="Arial" w:cs="Arial"/>
          <w:rtl w:val="true"/>
        </w:rPr>
        <w:t xml:space="preserve"> על חומרת עונשם ש</w:t>
      </w:r>
      <w:r>
        <w:rPr>
          <w:rFonts w:ascii="Arial" w:hAnsi="Arial" w:cs="Arial"/>
          <w:rtl w:val="true"/>
        </w:rPr>
        <w:t>ל נאשמים</w:t>
      </w:r>
      <w:r>
        <w:rPr>
          <w:rFonts w:ascii="Arial" w:hAnsi="Arial" w:cs="Arial"/>
          <w:rtl w:val="true"/>
        </w:rPr>
        <w:t xml:space="preserve"> עליהם הוטלו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בגין </w:t>
      </w:r>
      <w:r>
        <w:rPr>
          <w:rFonts w:ascii="Arial" w:hAnsi="Arial" w:cs="Arial"/>
          <w:rtl w:val="true"/>
        </w:rPr>
        <w:t>ביצוע עבירה של החזקת נשק ותחמושת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הנאשמים נתפסו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כל אחד מהם החזיק באקדח טעון ומחסנית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בכיס מעילו מחסנית נוספת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1246/17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מטר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12.3.2017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נדחתה בקשת רשות ערעור של נאשם שהורשע בהחזקת אקדח ותחמושת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</w:t>
      </w:r>
      <w:r>
        <w:rPr>
          <w:rFonts w:ascii="Arial" w:hAnsi="Arial" w:cs="Arial"/>
          <w:rtl w:val="true"/>
        </w:rPr>
        <w:t>בית משפט מחוזי החמיר בע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נשו </w:t>
      </w:r>
      <w:r>
        <w:rPr>
          <w:rFonts w:ascii="Arial" w:hAnsi="Arial" w:cs="Arial"/>
          <w:rtl w:val="true"/>
        </w:rPr>
        <w:t>של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חלף שישה ח</w:t>
      </w:r>
      <w:r>
        <w:rPr>
          <w:rFonts w:ascii="Arial" w:hAnsi="Arial" w:cs="Arial"/>
          <w:rtl w:val="true"/>
        </w:rPr>
        <w:t>ודשי מאסר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56010-03-18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אלאסד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27.6.18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 xml:space="preserve">דחה בית המשפט המחוזי ערעורו של נאשם כבן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החזיק בביתו אקדח ללא תחמושת ונדון לתשעה חודשי מאסר בפועל ועונשים נלווים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56305-02-20</w:t>
        </w:r>
      </w:hyperlink>
      <w:r>
        <w:rPr>
          <w:rFonts w:cs="Arial" w:ascii="Arial" w:hAnsi="Arial"/>
          <w:rtl w:val="true"/>
        </w:rPr>
        <w:t xml:space="preserve">‏ </w:t>
      </w:r>
      <w:r>
        <w:rPr>
          <w:rFonts w:ascii="Arial" w:hAnsi="Arial" w:cs="Arial"/>
          <w:rtl w:val="true"/>
        </w:rPr>
        <w:t xml:space="preserve">אלקריעאן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18.8.20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נדון נאשם ללא עבר פלילי שברכבו נמצא אקדח ומחסנית</w:t>
      </w:r>
      <w:r>
        <w:rPr>
          <w:rFonts w:ascii="Arial" w:hAnsi="Arial" w:cs="Arial"/>
          <w:rtl w:val="true"/>
        </w:rPr>
        <w:t xml:space="preserve">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ערכאת הערעור הפחיתה את עונשו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761/07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מיכאל אדרי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22/02/07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המערער נהג ברכב ונתפס מחזיק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הזדהה כאחר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הורשע בהחזקת נשק שלא כדין ובהפרעה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נגזרו עליו ב</w:t>
      </w:r>
      <w:r>
        <w:rPr>
          <w:rFonts w:ascii="Arial" w:hAnsi="Arial" w:cs="Arial"/>
          <w:rtl w:val="true"/>
        </w:rPr>
        <w:t xml:space="preserve">בית המשפט המחוזי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ערעור המדינה על קולת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רישום פלילי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הוחמר </w:t>
      </w:r>
      <w:r>
        <w:rPr>
          <w:rFonts w:ascii="Arial" w:hAnsi="Arial" w:cs="Arial"/>
          <w:rtl w:val="true"/>
        </w:rPr>
        <w:t xml:space="preserve">עונשו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18780-06-14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14.9.2014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לנאשם שה</w:t>
      </w:r>
      <w:r>
        <w:rPr>
          <w:rFonts w:ascii="Arial" w:hAnsi="Arial" w:cs="Arial"/>
          <w:rtl w:val="true"/>
        </w:rPr>
        <w:t xml:space="preserve">חזיק </w:t>
      </w:r>
      <w:r>
        <w:rPr>
          <w:rFonts w:ascii="Arial" w:hAnsi="Arial" w:cs="Arial"/>
          <w:rtl w:val="true"/>
        </w:rPr>
        <w:t xml:space="preserve">בביתו </w:t>
      </w:r>
      <w:r>
        <w:rPr>
          <w:rFonts w:ascii="Arial" w:hAnsi="Arial" w:cs="Arial"/>
          <w:rtl w:val="true"/>
        </w:rPr>
        <w:t xml:space="preserve">שני אקדחים טעונים במחסניות עם כדורים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ובנוסף בשתי מחסניות ריקות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נקבע מתחם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בשים לב לנסיבות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ההסכמה הדיונית שבין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ערכים החברתיים שנפגעו ומידת הפגיעה בהם</w:t>
      </w:r>
      <w:r>
        <w:rPr>
          <w:rFonts w:ascii="Arial" w:hAnsi="Arial" w:cs="Arial"/>
          <w:rtl w:val="true"/>
        </w:rPr>
        <w:t xml:space="preserve"> לרבות מ</w:t>
      </w:r>
      <w:r>
        <w:rPr>
          <w:rFonts w:ascii="Arial" w:hAnsi="Arial" w:cs="Arial"/>
          <w:rtl w:val="true"/>
        </w:rPr>
        <w:t>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לקבוע את מתחם העונש ההולם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בבחינת העונש המתאים לנאשם </w:t>
      </w:r>
      <w:r>
        <w:rPr>
          <w:rFonts w:ascii="Arial" w:hAnsi="Arial" w:cs="Arial"/>
          <w:rtl w:val="true"/>
        </w:rPr>
        <w:t xml:space="preserve">בתוך המתחם </w:t>
      </w:r>
      <w:r>
        <w:rPr>
          <w:rFonts w:ascii="Arial" w:hAnsi="Arial" w:cs="Arial"/>
          <w:rtl w:val="true"/>
        </w:rPr>
        <w:t>הבאתי ב</w:t>
      </w:r>
      <w:r>
        <w:rPr>
          <w:rFonts w:ascii="Arial" w:hAnsi="Arial" w:cs="Arial"/>
          <w:rtl w:val="true"/>
        </w:rPr>
        <w:t xml:space="preserve">מסגרת שיקוליי לעונש </w:t>
      </w:r>
      <w:r>
        <w:rPr>
          <w:rFonts w:ascii="Arial" w:hAnsi="Arial" w:cs="Arial"/>
          <w:rtl w:val="true"/>
        </w:rPr>
        <w:t>את הודאת הנאשם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החיסכון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משך תקופת המעצר בה </w:t>
      </w:r>
      <w:r>
        <w:rPr>
          <w:rFonts w:ascii="Arial" w:hAnsi="Arial" w:cs="Arial"/>
          <w:rtl w:val="true"/>
        </w:rPr>
        <w:t xml:space="preserve">הוא </w:t>
      </w:r>
      <w:r>
        <w:rPr>
          <w:rFonts w:ascii="Arial" w:hAnsi="Arial" w:cs="Arial"/>
          <w:rtl w:val="true"/>
        </w:rPr>
        <w:t>שוהה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</w:t>
      </w:r>
      <w:r>
        <w:rPr>
          <w:rFonts w:ascii="Arial" w:hAnsi="Arial" w:cs="Arial"/>
          <w:rtl w:val="true"/>
        </w:rPr>
        <w:t xml:space="preserve"> נסיבותיו האישיות כפי שפורטו על ידי ההגנה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הינו נשוי </w:t>
      </w:r>
      <w:r>
        <w:rPr>
          <w:rFonts w:ascii="Arial" w:hAnsi="Arial" w:cs="Arial"/>
          <w:rtl w:val="true"/>
        </w:rPr>
        <w:t>ואב לילדים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בעל חברה 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המספקת מוצרי חלב באזור עוטף ירושלים ובתחומי האזור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 הנאשם </w:t>
      </w:r>
      <w:r>
        <w:rPr>
          <w:rFonts w:ascii="Arial" w:hAnsi="Arial" w:cs="Arial"/>
          <w:rtl w:val="true"/>
        </w:rPr>
        <w:t xml:space="preserve">שתי הרשעות קודמות האחת משנת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בעבירות של חברות בהתאגדות אסורה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קשר לפשע ואיסור פעולה 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העברה של רכוש טרור בגינה נדון בחודש פברואר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לחובת הנאשם עבירה נוספת משנת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מתחום התכנון והבנייה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באיזון בין כלל השיקולים שפורטו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לקבוע את עונשו של הנאשם בחלק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התחתון של מתחם העונש ההולם ולהטיל עליו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hanging="675" w:start="10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מאסר למשך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בניכוי ימי המעצר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675" w:start="10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למשך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</w:t>
      </w:r>
      <w:r>
        <w:rPr>
          <w:rFonts w:ascii="Arial" w:hAnsi="Arial" w:cs="Arial"/>
          <w:rtl w:val="true"/>
        </w:rPr>
        <w:t xml:space="preserve">שים וזאת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מיום שחרורו של הנאשם מהמאסר שלא יעבור עבירה בניגוד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לסעיף </w:t>
        </w:r>
        <w:r>
          <w:rPr>
            <w:rStyle w:val="Hyperlink"/>
            <w:rFonts w:cs="Arial" w:ascii="Arial" w:hAnsi="Arial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ind w:hanging="675" w:start="103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3000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אשר ישולם עד ליום </w:t>
      </w:r>
      <w:r>
        <w:rPr>
          <w:rFonts w:cs="Arial" w:ascii="Arial" w:hAnsi="Arial"/>
        </w:rPr>
        <w:t>4.8.2024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החוב מועבר למרכז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בהתאם למועדים והתשלומים שקבע בית המשפט</w:t>
      </w:r>
      <w:r>
        <w:rPr>
          <w:rFonts w:cs="David" w:ascii="David" w:hAnsi="David"/>
          <w:sz w:val="20"/>
          <w:szCs w:val="20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ניתן יהיה לשלם את הקנס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פיצוי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ההוצאות כעבור שלושה ימים מיום מתן ההחלטה</w:t>
      </w:r>
      <w:r>
        <w:rPr>
          <w:rFonts w:cs="David" w:ascii="David" w:hAnsi="David"/>
          <w:sz w:val="20"/>
          <w:szCs w:val="20"/>
          <w:rtl w:val="true"/>
        </w:rPr>
        <w:t xml:space="preserve">/  </w:t>
      </w:r>
      <w:r>
        <w:rPr>
          <w:rFonts w:ascii="David" w:hAnsi="David"/>
          <w:sz w:val="20"/>
          <w:sz w:val="20"/>
          <w:szCs w:val="20"/>
          <w:rtl w:val="true"/>
        </w:rPr>
        <w:t>גזר הדין לחשבון המרכז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sz w:val="20"/>
          <w:szCs w:val="20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בכרטיס אשראי</w:t>
      </w:r>
      <w:r>
        <w:rPr>
          <w:rFonts w:ascii="David" w:hAnsi="David"/>
          <w:sz w:val="20"/>
          <w:sz w:val="20"/>
          <w:szCs w:val="20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hyperlink r:id="rId21">
        <w:r>
          <w:rPr>
            <w:rStyle w:val="Hyperlink"/>
            <w:rFonts w:cs="David" w:ascii="David" w:hAnsi="David"/>
            <w:sz w:val="20"/>
            <w:szCs w:val="20"/>
          </w:rPr>
          <w:t>www.eca.gov.il</w:t>
        </w:r>
      </w:hyperlink>
      <w:r>
        <w:rPr>
          <w:rFonts w:cs="David" w:ascii="David" w:hAnsi="David"/>
          <w:sz w:val="20"/>
          <w:szCs w:val="20"/>
          <w:rtl w:val="true"/>
        </w:rPr>
        <w:t xml:space="preserve"> </w:t>
      </w:r>
      <w:r>
        <w:rPr>
          <w:rFonts w:cs="David" w:ascii="David" w:hAnsi="David"/>
          <w:sz w:val="20"/>
          <w:szCs w:val="20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sz w:val="20"/>
          <w:szCs w:val="20"/>
          <w:rtl w:val="true"/>
        </w:rPr>
        <w:t>(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מרכז גבייה</w:t>
      </w:r>
      <w:r>
        <w:rPr>
          <w:rFonts w:cs="David" w:ascii="David" w:hAnsi="David"/>
          <w:b/>
          <w:bCs/>
          <w:sz w:val="20"/>
          <w:szCs w:val="20"/>
          <w:rtl w:val="true"/>
        </w:rPr>
        <w:t xml:space="preserve">)  –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בטלפון </w:t>
      </w:r>
      <w:r>
        <w:rPr>
          <w:rFonts w:cs="David" w:ascii="David" w:hAnsi="David"/>
          <w:b/>
          <w:bCs/>
          <w:sz w:val="20"/>
          <w:szCs w:val="20"/>
        </w:rPr>
        <w:t>35592</w:t>
      </w:r>
      <w:r>
        <w:rPr>
          <w:rFonts w:cs="David" w:ascii="David" w:hAnsi="David"/>
          <w:b/>
          <w:bCs/>
          <w:sz w:val="20"/>
          <w:szCs w:val="20"/>
          <w:rtl w:val="true"/>
        </w:rPr>
        <w:t xml:space="preserve">*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או בטלפון </w:t>
      </w:r>
      <w:r>
        <w:rPr>
          <w:rFonts w:cs="David" w:ascii="David" w:hAnsi="David"/>
          <w:b/>
          <w:bCs/>
          <w:sz w:val="20"/>
          <w:szCs w:val="20"/>
        </w:rPr>
        <w:t>073-2055000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במזומן בכל סניף של בנק הדואר</w:t>
      </w:r>
      <w:r>
        <w:rPr>
          <w:rFonts w:ascii="David" w:hAnsi="David"/>
          <w:sz w:val="20"/>
          <w:sz w:val="20"/>
          <w:szCs w:val="20"/>
          <w:rtl w:val="true"/>
        </w:rPr>
        <w:t xml:space="preserve"> – בהצגת תעודת זהות בלבד </w:t>
      </w:r>
      <w:r>
        <w:rPr>
          <w:rFonts w:cs="David" w:ascii="David" w:hAnsi="David"/>
          <w:sz w:val="20"/>
          <w:szCs w:val="20"/>
          <w:rtl w:val="true"/>
        </w:rPr>
        <w:t>(</w:t>
      </w:r>
      <w:r>
        <w:rPr>
          <w:rFonts w:ascii="David" w:hAnsi="David"/>
          <w:sz w:val="20"/>
          <w:sz w:val="20"/>
          <w:szCs w:val="20"/>
          <w:rtl w:val="true"/>
        </w:rPr>
        <w:t>אין צורך בשוברי תשלום</w:t>
      </w:r>
      <w:r>
        <w:rPr>
          <w:rFonts w:cs="David" w:ascii="David" w:hAnsi="David"/>
          <w:sz w:val="20"/>
          <w:szCs w:val="20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ind w:hanging="675" w:start="1035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המוצגים יחולטו או יושמדו לפי החלטת רשם המוצגים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זכות ערעור לבית המשפט המחוזי בתוך </w:t>
      </w:r>
      <w:r>
        <w:rPr>
          <w:rFonts w:cs="Arial" w:ascii="Arial" w:hAnsi="Arial"/>
          <w:b/>
          <w:bCs/>
          <w:sz w:val="22"/>
          <w:szCs w:val="22"/>
        </w:rPr>
        <w:t>45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יום</w:t>
      </w:r>
      <w:r>
        <w:rPr>
          <w:rFonts w:cs="Arial" w:ascii="Arial" w:hAnsi="Arial"/>
          <w:b/>
          <w:bCs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bookmarkStart w:id="12" w:name="Nitan"/>
      <w:r>
        <w:rPr>
          <w:rFonts w:ascii="Arial" w:hAnsi="Arial" w:cs="Arial"/>
          <w:sz w:val="22"/>
          <w:sz w:val="22"/>
          <w:szCs w:val="22"/>
          <w:rtl w:val="true"/>
        </w:rPr>
        <w:t>ניתן היום</w:t>
      </w:r>
      <w:r>
        <w:rPr>
          <w:rFonts w:cs="Arial" w:ascii="Arial" w:hAnsi="Arial"/>
          <w:sz w:val="22"/>
          <w:szCs w:val="22"/>
          <w:rtl w:val="true"/>
        </w:rPr>
        <w:t xml:space="preserve">,  </w:t>
      </w:r>
      <w:r>
        <w:rPr>
          <w:rFonts w:ascii="Arial" w:hAnsi="Arial" w:cs="Arial"/>
          <w:sz w:val="22"/>
          <w:sz w:val="22"/>
          <w:szCs w:val="22"/>
          <w:rtl w:val="true"/>
        </w:rPr>
        <w:t>כ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ב שבט תשפ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ד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cs="Arial" w:ascii="Arial" w:hAnsi="Arial"/>
          <w:sz w:val="22"/>
          <w:szCs w:val="22"/>
        </w:rPr>
        <w:t>01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פברואר </w:t>
      </w:r>
      <w:r>
        <w:rPr>
          <w:rFonts w:cs="Arial" w:ascii="Arial" w:hAnsi="Arial"/>
          <w:sz w:val="22"/>
          <w:szCs w:val="22"/>
        </w:rPr>
        <w:t>2024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במעמד הנוכחים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הנאשם וביעוד חזותי</w:t>
      </w:r>
      <w:r>
        <w:rPr>
          <w:rFonts w:cs="Arial" w:ascii="Arial" w:hAnsi="Arial"/>
          <w:sz w:val="22"/>
          <w:szCs w:val="22"/>
          <w:rtl w:val="true"/>
        </w:rPr>
        <w:t xml:space="preserve">). </w:t>
      </w:r>
      <w:bookmarkEnd w:id="12"/>
      <w:r>
        <w:rPr>
          <w:rFonts w:cs="Arial" w:ascii="Arial" w:hAnsi="Arial"/>
          <w:sz w:val="22"/>
          <w:szCs w:val="22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sz w:val="22"/>
          <w:szCs w:val="22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33774-05-23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מוסא סלאמה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0"/>
        </w:tabs>
        <w:ind w:start="1035" w:hanging="675"/>
      </w:pPr>
      <w:rPr/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  <w:lang w:val="en-US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b w:val="false"/>
      <w:bCs w:val="false"/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6913995" TargetMode="External"/><Relationship Id="rId8" Type="http://schemas.openxmlformats.org/officeDocument/2006/relationships/hyperlink" Target="http://www.nevo.co.il/case/25824863" TargetMode="External"/><Relationship Id="rId9" Type="http://schemas.openxmlformats.org/officeDocument/2006/relationships/hyperlink" Target="http://www.nevo.co.il/case/25063920" TargetMode="External"/><Relationship Id="rId10" Type="http://schemas.openxmlformats.org/officeDocument/2006/relationships/hyperlink" Target="http://www.nevo.co.il/case/5969313" TargetMode="External"/><Relationship Id="rId11" Type="http://schemas.openxmlformats.org/officeDocument/2006/relationships/hyperlink" Target="http://www.nevo.co.il/case/26383419" TargetMode="External"/><Relationship Id="rId12" Type="http://schemas.openxmlformats.org/officeDocument/2006/relationships/hyperlink" Target="http://www.nevo.co.il/case/6024035" TargetMode="External"/><Relationship Id="rId13" Type="http://schemas.openxmlformats.org/officeDocument/2006/relationships/hyperlink" Target="http://www.nevo.co.il/case/6058757" TargetMode="External"/><Relationship Id="rId14" Type="http://schemas.openxmlformats.org/officeDocument/2006/relationships/hyperlink" Target="http://www.nevo.co.il/case/22228298" TargetMode="External"/><Relationship Id="rId15" Type="http://schemas.openxmlformats.org/officeDocument/2006/relationships/hyperlink" Target="http://www.nevo.co.il/case/23817589" TargetMode="External"/><Relationship Id="rId16" Type="http://schemas.openxmlformats.org/officeDocument/2006/relationships/hyperlink" Target="http://www.nevo.co.il/case/26484690" TargetMode="External"/><Relationship Id="rId17" Type="http://schemas.openxmlformats.org/officeDocument/2006/relationships/hyperlink" Target="http://www.nevo.co.il/case/5724364" TargetMode="External"/><Relationship Id="rId18" Type="http://schemas.openxmlformats.org/officeDocument/2006/relationships/hyperlink" Target="http://www.nevo.co.il/case/16992066" TargetMode="External"/><Relationship Id="rId19" Type="http://schemas.openxmlformats.org/officeDocument/2006/relationships/hyperlink" Target="http://www.nevo.co.il/law/70301/14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eca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2024-11-07T12:36:00Z</dcterms:created>
  <dc:creator> </dc:creator>
  <dc:description/>
  <cp:keywords/>
  <dc:language>en-IL</dc:language>
  <cp:lastModifiedBy>h1</cp:lastModifiedBy>
  <dcterms:modified xsi:type="dcterms:W3CDTF">2024-11-07T12:36:00Z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מוסא סלאמה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26913995;25824863;25063920;5969313;26383419;6024035;6058757;22228298;23817589;26484690;5724364;16992066</vt:lpwstr>
  </property>
  <property fmtid="{D5CDD505-2E9C-101B-9397-08002B2CF9AE}" pid="9" name="CITY">
    <vt:lpwstr>י-ם</vt:lpwstr>
  </property>
  <property fmtid="{D5CDD505-2E9C-101B-9397-08002B2CF9AE}" pid="10" name="DATE">
    <vt:lpwstr>20240201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ארנון איתן</vt:lpwstr>
  </property>
  <property fmtid="{D5CDD505-2E9C-101B-9397-08002B2CF9AE}" pid="14" name="LAWLISTTMP1">
    <vt:lpwstr>70301/144.a;144</vt:lpwstr>
  </property>
  <property fmtid="{D5CDD505-2E9C-101B-9397-08002B2CF9AE}" pid="15" name="LAWYER">
    <vt:lpwstr>אמיר נבון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33774</vt:lpwstr>
  </property>
  <property fmtid="{D5CDD505-2E9C-101B-9397-08002B2CF9AE}" pid="22" name="NEWPARTB">
    <vt:lpwstr>05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380020240201</vt:lpwstr>
  </property>
  <property fmtid="{D5CDD505-2E9C-101B-9397-08002B2CF9AE}" pid="34" name="TYPE_N_DATE">
    <vt:lpwstr>38020240201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