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9"/>
        <w:gridCol w:w="456"/>
        <w:gridCol w:w="1055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2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3381-08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תחנת פתח תקוה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אלטורי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72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תחנת פתח תקוה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איעד אלטורי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שלוחת תביעות תחנת פתח תקוה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שירי וידן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דור לוי 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איעד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אלטורי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יפה ס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צ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rtl w:val="true"/>
        </w:rPr>
        <w:t>אני מרשיעה את הנאשם עפ</w:t>
      </w:r>
      <w:r>
        <w:rPr>
          <w:rtl w:val="true"/>
        </w:rPr>
        <w:t>"</w:t>
      </w:r>
      <w:r>
        <w:rPr>
          <w:rtl w:val="true"/>
        </w:rPr>
        <w:t xml:space="preserve">י הודייתו ובמסגרת הסדר בעבירה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, </w:t>
      </w:r>
      <w:r>
        <w:rPr>
          <w:rtl w:val="true"/>
        </w:rPr>
        <w:t xml:space="preserve">עבירה מיום </w:t>
      </w:r>
      <w:r>
        <w:rPr/>
        <w:t>4.11.07</w:t>
      </w:r>
      <w:r>
        <w:rPr>
          <w:rtl w:val="true"/>
        </w:rPr>
        <w:t xml:space="preserve"> </w:t>
      </w:r>
      <w:r>
        <w:rPr>
          <w:rtl w:val="true"/>
        </w:rPr>
        <w:t>כאשר בחיפוש שנערך בביתו ב</w:t>
      </w:r>
      <w:r>
        <w:rPr/>
        <w:t>06.00</w:t>
      </w:r>
      <w:r>
        <w:rPr>
          <w:rtl w:val="true"/>
        </w:rPr>
        <w:t xml:space="preserve"> </w:t>
      </w:r>
      <w:r>
        <w:rPr>
          <w:rtl w:val="true"/>
        </w:rPr>
        <w:t xml:space="preserve">בכפר קאסם נמצא מחזיק שתי מחסניות ריקות של אקדח וכדור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אחד בלא רשות עפ</w:t>
      </w:r>
      <w:r>
        <w:rPr>
          <w:rtl w:val="true"/>
        </w:rPr>
        <w:t>"</w:t>
      </w:r>
      <w:r>
        <w:rPr>
          <w:rtl w:val="true"/>
        </w:rPr>
        <w:t>י דין</w:t>
      </w:r>
      <w:r>
        <w:rPr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26/04/2009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5" w:name="PsakDin"/>
      <w:bookmarkStart w:id="6" w:name="ABSTRACT_START"/>
      <w:bookmarkEnd w:id="5"/>
      <w:bookmarkEnd w:id="6"/>
      <w:r>
        <w:rPr>
          <w:rtl w:val="true"/>
        </w:rPr>
        <w:t>הנאשם לוקח אחריות ומודה בעבירה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מיום </w:t>
      </w:r>
      <w:r>
        <w:rPr/>
        <w:t>4.11.07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>מה שהוחזק אצלו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 xml:space="preserve">היה שתי מחסניות ריקות וכדור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אחד שהוחזקו שלא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 מטיעוני הסניגוריה הרי המדובר במי שמעולם לא הסתבך עם החוק</w:t>
      </w:r>
      <w:r>
        <w:rPr>
          <w:rtl w:val="true"/>
        </w:rPr>
        <w:t xml:space="preserve">, </w:t>
      </w:r>
      <w:r>
        <w:rPr>
          <w:rtl w:val="true"/>
        </w:rPr>
        <w:t xml:space="preserve">בחור צעיר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סובל מנכות מלידה</w:t>
      </w:r>
      <w:r>
        <w:rPr>
          <w:rtl w:val="true"/>
        </w:rPr>
        <w:t xml:space="preserve">, </w:t>
      </w:r>
      <w:r>
        <w:rPr>
          <w:rtl w:val="true"/>
        </w:rPr>
        <w:t>מקבל קצבה של בט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נשוי ואב לתינוקת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 עותרת להטלת מאסר מותנה וקנס</w:t>
      </w:r>
      <w:r>
        <w:rPr>
          <w:rtl w:val="true"/>
        </w:rPr>
        <w:t xml:space="preserve">, </w:t>
      </w:r>
      <w:r>
        <w:rPr>
          <w:rtl w:val="true"/>
        </w:rPr>
        <w:t>ואילו הסניגוריה מבקשת להסתפק במאסר מותנה והתחייבות</w:t>
      </w:r>
      <w:r>
        <w:rPr>
          <w:rtl w:val="true"/>
        </w:rPr>
        <w:t xml:space="preserve">, </w:t>
      </w:r>
      <w:r>
        <w:rPr>
          <w:rtl w:val="true"/>
        </w:rPr>
        <w:t>בהתחשב בנסיבות שתוארו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לי ספק כי הנאשם ידע על אותם פריטים שנמצאו בביתו</w:t>
      </w:r>
      <w:r>
        <w:rPr>
          <w:rtl w:val="true"/>
        </w:rPr>
        <w:t xml:space="preserve">, </w:t>
      </w:r>
      <w:r>
        <w:rPr>
          <w:rtl w:val="true"/>
        </w:rPr>
        <w:t>וצר לי שהמשיך והחזיקם וכך הסתבך בעבירה הפלילית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בנסיבות אלו מוטלים על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אותם לא יישא אלא אם תוך שנתיים יחזור ויעבור על העבירה בה הורשע</w:t>
      </w:r>
      <w:r>
        <w:rPr>
          <w:rtl w:val="true"/>
        </w:rPr>
        <w:t xml:space="preserve">, </w:t>
      </w:r>
      <w:r>
        <w:rPr>
          <w:rtl w:val="true"/>
        </w:rPr>
        <w:t xml:space="preserve">תחתם התחייבות בגובה </w:t>
      </w:r>
      <w:r>
        <w:rPr/>
        <w:t>2000</w:t>
      </w:r>
      <w:r>
        <w:rPr>
          <w:rtl w:val="true"/>
        </w:rPr>
        <w:t xml:space="preserve"> ₪, </w:t>
      </w:r>
      <w:r>
        <w:rPr>
          <w:rtl w:val="true"/>
        </w:rPr>
        <w:t>תוקפה לשנה מהיום</w:t>
      </w:r>
      <w:r>
        <w:rPr>
          <w:rtl w:val="true"/>
        </w:rPr>
        <w:t xml:space="preserve">, </w:t>
      </w:r>
      <w:r>
        <w:rPr>
          <w:rtl w:val="true"/>
        </w:rPr>
        <w:t>שלא יעבור על העבירה בה הורשע</w:t>
      </w:r>
      <w:r>
        <w:rPr>
          <w:rtl w:val="true"/>
        </w:rPr>
        <w:t xml:space="preserve">. </w:t>
      </w:r>
      <w:r>
        <w:rPr>
          <w:rtl w:val="true"/>
        </w:rPr>
        <w:t xml:space="preserve">לא תחתם </w:t>
      </w:r>
      <w:r>
        <w:rPr>
          <w:rtl w:val="true"/>
        </w:rPr>
        <w:t>–</w:t>
      </w:r>
      <w:r>
        <w:rPr>
          <w:rtl w:val="true"/>
        </w:rPr>
        <w:t xml:space="preserve"> ירצה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המחסניות והכדור 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במידה ובתיק זה פקדון כלשהו </w:t>
      </w:r>
      <w:r>
        <w:rPr>
          <w:rtl w:val="true"/>
        </w:rPr>
        <w:t>–</w:t>
      </w:r>
      <w:r>
        <w:rPr>
          <w:rtl w:val="true"/>
        </w:rPr>
        <w:t xml:space="preserve"> יוחזר למפקיד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>זכות ערעור לביהמ</w:t>
      </w:r>
      <w:r>
        <w:rPr>
          <w:b/>
          <w:bCs/>
          <w:u w:val="double"/>
          <w:rtl w:val="true"/>
        </w:rPr>
        <w:t>"</w:t>
      </w:r>
      <w:r>
        <w:rPr>
          <w:b/>
          <w:b/>
          <w:bCs/>
          <w:u w:val="double"/>
          <w:rtl w:val="true"/>
        </w:rPr>
        <w:t xml:space="preserve">ש המחוזי תוך </w:t>
      </w:r>
      <w:r>
        <w:rPr>
          <w:b/>
          <w:bCs/>
          <w:u w:val="double"/>
        </w:rPr>
        <w:t>45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יום</w:t>
      </w:r>
      <w:r>
        <w:rPr>
          <w:b/>
          <w:bCs/>
          <w:u w:val="doub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26/04/2009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/Users/liorb/Downloads/study2025-p2/SH-08-3381.doc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3381-08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תחנת פתח תקוה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איעד אלטורי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381-08"/>
    <w:docVar w:name="caseId" w:val="7240970"/>
    <w:docVar w:name="deriveClass" w:val="NGCS.Protocol.BL.Client.ProtocolBLClientCriminal"/>
    <w:docVar w:name="firstPageNumber" w:val="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10743"/>
    <w:docVar w:name="releaseSign" w:val="0"/>
    <w:docVar w:name="sittingDateTime" w:val="26/04/2009 08:30     "/>
    <w:docVar w:name="sittingId" w:val="1231544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2009-04-26T23:43:00Z</dcterms:created>
  <dc:creator> </dc:creator>
  <dc:description/>
  <cp:keywords/>
  <dc:language>en-IL</dc:language>
  <cp:lastModifiedBy>hofit</cp:lastModifiedBy>
  <cp:lastPrinted>2009-04-26T12:07:00Z</cp:lastPrinted>
  <dcterms:modified xsi:type="dcterms:W3CDTF">2009-04-27T09:11:00Z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תחנת פתח תקוה</vt:lpwstr>
  </property>
  <property fmtid="{D5CDD505-2E9C-101B-9397-08002B2CF9AE}" pid="3" name="APPELLEE">
    <vt:lpwstr>איעד אלטורי</vt:lpwstr>
  </property>
  <property fmtid="{D5CDD505-2E9C-101B-9397-08002B2CF9AE}" pid="4" name="CITY">
    <vt:lpwstr>פ"ת</vt:lpwstr>
  </property>
  <property fmtid="{D5CDD505-2E9C-101B-9397-08002B2CF9AE}" pid="5" name="DATE">
    <vt:lpwstr>20090426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לבאון</vt:lpwstr>
  </property>
  <property fmtid="{D5CDD505-2E9C-101B-9397-08002B2CF9AE}" pid="9" name="LAWYER">
    <vt:lpwstr>שירי וידן;דור לוי;יפה 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3381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3381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380020090426</vt:lpwstr>
  </property>
  <property fmtid="{D5CDD505-2E9C-101B-9397-08002B2CF9AE}" pid="35" name="TYPE_N_DATE">
    <vt:lpwstr>38020090426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