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>
          <w:rFonts w:ascii="Tahoma" w:hAnsi="Tahoma" w:cs="Tahoma"/>
          <w:color w:val="000080"/>
        </w:rPr>
      </w:pPr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בבאר שבע</w:t>
      </w:r>
    </w:p>
    <w:p>
      <w:pPr>
        <w:pStyle w:val="Header"/>
        <w:tabs>
          <w:tab w:val="clear" w:pos="720"/>
        </w:tabs>
        <w:ind w:end="0"/>
        <w:jc w:val="end"/>
        <w:rPr/>
      </w:pP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bookmarkStart w:id="0" w:name="LastJudge"/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ביתן</w:t>
      </w:r>
      <w:r>
        <w:rPr>
          <w:b/>
          <w:bCs/>
          <w:rtl w:val="true"/>
        </w:rPr>
        <w:t>-</w:t>
      </w:r>
      <w:r>
        <w:rPr>
          <w:b/>
          <w:bCs/>
          <w:rtl w:val="true"/>
        </w:rPr>
        <w:t>-</w:t>
      </w:r>
      <w:r>
        <w:rPr>
          <w:b/>
          <w:bCs/>
        </w:rPr>
        <w:t>09</w:t>
      </w:r>
      <w:bookmarkEnd w:id="0"/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2020</w:t>
      </w:r>
    </w:p>
    <w:p>
      <w:pPr>
        <w:pStyle w:val="Header"/>
        <w:tabs>
          <w:tab w:val="clear" w:pos="720"/>
        </w:tabs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33920-03-20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עציר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</w:p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er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3590"/>
      </w:tblGrid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59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59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488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עקב אבו עמאר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59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28"/>
          <w:szCs w:val="28"/>
        </w:rPr>
      </w:pPr>
      <w:r>
        <w:rPr>
          <w:rFonts w:cs="David" w:ascii="David" w:hAnsi="David"/>
          <w:color w:val="0000FF"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בטרם שמיעת הראיות בתיק הגיעו הצדדים להסדר טיעון במסגרתו הוגש נגד הנאשם כתב אישום מתוקן והנאשם הודה בעובדותיו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שאלה הם עיקריהן</w:t>
      </w:r>
      <w:r>
        <w:rPr>
          <w:rFonts w:cs="David" w:ascii="David" w:hAnsi="David"/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הינו דודו של אברהים אבו עמאר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לקיה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במועדים הרלוונטיים לכתב האישום היה חייל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איברהים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פאהד אבו עמאר וזאהר אבו אעמאר היו  במועדים הרלוונטיים חיילים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פאהד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זאהר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מחמוד פריג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את הינו תושב לקיה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פריג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את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ומחמוד אבו עישה וסיף אבו עשיה הינם תושבי חברון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אבו עישה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סייף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הנאשם ידע כי אברהים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פאהד וזאהר הם חיילים בשירות סדיר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bookmarkStart w:id="9" w:name="ABSTRACT_END"/>
      <w:bookmarkEnd w:id="9"/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אישום ראשון</w:t>
      </w:r>
      <w:r>
        <w:rPr>
          <w:rFonts w:cs="David" w:ascii="David" w:hAnsi="David"/>
          <w:u w:val="single"/>
          <w:rtl w:val="true"/>
        </w:rPr>
        <w:t>-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18.11.19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נידבר עם אברהים וזאהר שימכרו לאדם בשם לואי אבו עמר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לואי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 xml:space="preserve">חלקי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 הם יביאו מצה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18.11.19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בית קמה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ולואי פגשו את זאהר שהגיע למקום במשאית צבאית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זאהר מסר לידי הנאשם ולואי את נשקו האישי הצבאי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ולואי לקחו את הנשק למספר דקות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הוציאו מתוכו את חלקי הנשק המקוריים והתקינים והכניסו חזרה לנשק חלקים שאינם תקינים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ולאחר מכן הנאשם נתן לזאהר סך של </w:t>
      </w:r>
      <w:r>
        <w:rPr>
          <w:rFonts w:cs="David" w:ascii="David" w:hAnsi="David"/>
        </w:rPr>
        <w:t>2,000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מתוך סכום של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אישום שני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בתחילת חודש דצמבר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לואי פנה לאברהים וביקש ממנו שיספק לו קנה של 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 ואברהים אמר לו שיהיה לו קשה לספק את מבוקשו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פנה לאברהים וביקש ממנו להיעתר לבקשתו של לואי ועקב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כשלושה שבועות מאוחר יותר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אברהים מסר ללואי 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לי ותקני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ולואי פירק את הקנה המקורי והתקין מהנשק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הרכיב במקומו קנה אחר שאינו תקין ושילם לאברהים </w:t>
      </w:r>
      <w:r>
        <w:rPr>
          <w:rFonts w:cs="David" w:ascii="David" w:hAnsi="David"/>
        </w:rPr>
        <w:t>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אישום שלישי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במהלך שנת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ביקש מפאהד לספק לו תחמושת מסוג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מחסניות של 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ומכלול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ופאהד סיפק לנאשם </w:t>
      </w:r>
      <w:r>
        <w:rPr>
          <w:rFonts w:cs="David" w:ascii="David" w:hAnsi="David"/>
        </w:rPr>
        <w:t>120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נשק מסוג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מחסניות של 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אישום רביעי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בחודש דצמבר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ביקש מפריג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את לנסוע עמו לחברון כדי לפגוש את סייף ולהביא ממנו חלקי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ולהובילם לארץ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ומיד בסמוך לכך נסעו השניים ברכבו של הנאשם לחברון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פגשו את סייף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ופריג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את קיבל ממנו שקית ובה חלק של רובה 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ומסרה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הנאשם ופריג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את חזרו לישראל עם חלק הנשק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הודאת הנאשם בעובדות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בשתי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2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בעבירת נשק 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בחוק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499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במסגרת הסדר הטיעון הסכימו הצדדים להמליץ לבית המשפט להטיל  על הנאשם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מיום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התביעה ציינה שעניינו של הנאשם הוא חלק מפרשה במסגרתה הוגשו כתבי אישום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הנאשמים בפרשה הודו במעשיהם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למעט הנאשם האחר בתיק זה שעניינו הופרד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ונאשם נוסף שבעניינו יוצג הסדר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שהסדר הטיעון מתחשב בהודאת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בחסכון בזמן השיפוטי ובכך שהנאשם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והדגישה שהעונש המוצע כולל קנס גבוה ועונש מאסר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ועתרה לקבל את הסדר הטיעון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הצטרף לדברי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טען כי העונש המוסכם נגזר מהעונשים שהוטלו על המעורבים האחרים בפרשה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הדגיש את החיסכון בזמן שיפוטי וציין שההסדר מנע את הצורך של התביעה להעיד בני משפחה אלה נגד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וביקש לכבד את המלצת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הביע צער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 האישום מגולל פרשה חמורה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חברו יחד חיילי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ואזרחים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סחרו בחלקי נשק תמורת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חומרה מיוחדת נעוצה בעובדה שבאירועים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המעורבים פירקו מכלי נשק צהליים מכלולים מקוריים תקינים והכניסו במקומם מכלולים בלתי תקינים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בר דעת מבין את ההשלכות העלולות להיגרם ממעשים כאלה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באחד האירועים הנאשם יצא עם אחר לחברון ושם הם קיבלו מתושב המקום חלק של נשק והביאו אותו לשטחי 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כלי נשק המוחזקים בידיים בלתי מורשות משמשים לביצוע עבירות ואף לפיגועי טרור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והסכנה הגלומה בתופעה חמורה ורבה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מצב דברים בו אזרחים מפתים חיילים למכור להם חלקי נשק המוחזקים בידם במסגרת שירותם הצבאי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מעורר דאגה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פוטנציאל הנזק שלו – במישורים שונים – גדול ביותר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נוכח מרכיבי חומרה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מוצדק להטיל על הנאשם ענישה הכוללת מאסר לתקופה משמעותית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 ששקלתי בדבר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 למסקנה כי יש לכבד את הסדר הטיעון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b/>
          <w:b/>
          <w:rtl w:val="true"/>
        </w:rPr>
        <w:t>א</w:t>
      </w:r>
      <w:r>
        <w:rPr>
          <w:rFonts w:cs="David" w:ascii="David" w:hAnsi="David"/>
          <w:b/>
          <w:rtl w:val="true"/>
        </w:rPr>
        <w:t>.</w:t>
        <w:tab/>
        <w:t>"</w:t>
      </w:r>
      <w:r>
        <w:rPr>
          <w:rFonts w:ascii="David" w:hAnsi="David"/>
          <w:b/>
          <w:b/>
          <w:rtl w:val="true"/>
        </w:rPr>
        <w:t xml:space="preserve">הסדר טיעון </w:t>
      </w:r>
      <w:r>
        <w:rPr>
          <w:rFonts w:ascii="David" w:hAnsi="David"/>
          <w:rtl w:val="true"/>
        </w:rPr>
        <w:t>– באשר הוא – אינו רק שיקול אחד ככל יתר השיקולים העומדים בפני בית</w:t>
      </w:r>
      <w:r>
        <w:rPr>
          <w:rFonts w:cs="David" w:ascii="David" w:hAnsi="David"/>
          <w:vertAlign w:val="superscript"/>
          <w:rtl w:val="true"/>
        </w:rPr>
        <w:t>-</w:t>
      </w:r>
      <w:r>
        <w:rPr>
          <w:rFonts w:ascii="David" w:hAnsi="David"/>
          <w:rtl w:val="true"/>
        </w:rPr>
        <w:t>המשפט הגוזר את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האינטרס הציבורי במובנו הרחב מחייב את בתי</w:t>
      </w:r>
      <w:r>
        <w:rPr>
          <w:rFonts w:cs="David" w:ascii="David" w:hAnsi="David"/>
          <w:vertAlign w:val="superscript"/>
          <w:rtl w:val="true"/>
        </w:rPr>
        <w:t>-</w:t>
      </w:r>
      <w:r>
        <w:rPr>
          <w:rFonts w:ascii="David" w:hAnsi="David"/>
          <w:rtl w:val="true"/>
        </w:rPr>
        <w:t>המשפט לעודד קיומם של הסדרי טיעון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קיום הסדרי טיעון מאפשר פריסה רחבה יותר של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יש כוח מרתיע כשלעצמו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העשוי לאזן את אפקט ההקלה בעונש במקרה הקונקרטי</w:t>
      </w:r>
      <w:r>
        <w:rPr>
          <w:rFonts w:cs="David" w:ascii="David" w:hAnsi="David"/>
          <w:rtl w:val="true"/>
        </w:rPr>
        <w:t>. ...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vertAlign w:val="superscript"/>
          <w:rtl w:val="true"/>
        </w:rPr>
        <w:t>-</w:t>
      </w:r>
      <w:r>
        <w:rPr>
          <w:rFonts w:ascii="David" w:hAnsi="David"/>
          <w:rtl w:val="true"/>
        </w:rPr>
        <w:t>המשפט יראה לקיים את הסדר הטיעון בשל הטעמים הקשורים בחשיבותם ובמעמדם של הסדרי הטיעון</w:t>
      </w:r>
      <w:r>
        <w:rPr>
          <w:rFonts w:cs="David" w:ascii="David" w:hAnsi="David"/>
          <w:rtl w:val="true"/>
        </w:rPr>
        <w:t xml:space="preserve">". -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</w:rPr>
        <w:t>1958/98</w:t>
      </w:r>
      <w:r>
        <w:rPr>
          <w:rFonts w:cs="David" w:ascii="David" w:hAnsi="David"/>
          <w:rtl w:val="true"/>
        </w:rPr>
        <w:t xml:space="preserve">‏ </w:t>
      </w:r>
      <w:r>
        <w:rPr>
          <w:rFonts w:ascii="David" w:hAnsi="David"/>
          <w:rtl w:val="true"/>
        </w:rPr>
        <w:t>פלוני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''</w:t>
      </w:r>
      <w:r>
        <w:rPr>
          <w:rFonts w:ascii="David" w:hAnsi="David"/>
          <w:rtl w:val="true"/>
        </w:rPr>
        <w:t>ד נז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577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הרקע להסדר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ענייני וסביר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העונש המוצע כולל מאסר ממשי וקנס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בו לתרום להרתעת הנאשם והציבור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והוא מושפע מהעונשים שנגזרו על מעורבים אחרים בפרשה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זהו מאסרו הראשון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הודה במיוחס לו וחסך זמן את הצורך בהעדת עדי התביעה ובהם בני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נוכח כל האמור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מטיל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מיום מעצרו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על תנאי למשך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מיום שחרורו מהמאסר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 יעבור עבירת נשק שהיא פשע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100,000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 xml:space="preserve">או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תחתיו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תשלומים חודשיים שווים ורצופים החל מיום </w:t>
      </w:r>
      <w:r>
        <w:rPr>
          <w:rFonts w:cs="David" w:ascii="David" w:hAnsi="David"/>
          <w:color w:val="000000"/>
        </w:rPr>
        <w:t>1.8.20</w:t>
      </w:r>
      <w:r>
        <w:rPr>
          <w:rFonts w:cs="David" w:ascii="David" w:hAnsi="David"/>
          <w:color w:val="000000"/>
          <w:rtl w:val="true"/>
        </w:rPr>
        <w:t xml:space="preserve"> . </w:t>
      </w:r>
      <w:r>
        <w:rPr>
          <w:rFonts w:ascii="David" w:hAnsi="David"/>
          <w:color w:val="000000"/>
          <w:rtl w:val="true"/>
        </w:rPr>
        <w:t>תשלום שלא ישולם במועדו יעמיד את כל יתרת הסכום לפרעון מיידי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מזכירות בית המשפט מתבקשת למסור לידי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 כבר כעת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את שוברי תשלום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 xml:space="preserve">זכות ערעור תוך </w:t>
      </w:r>
      <w:r>
        <w:rPr>
          <w:rFonts w:cs="David" w:ascii="David" w:hAnsi="David"/>
          <w:b/>
          <w:bCs/>
          <w:color w:val="000000"/>
        </w:rPr>
        <w:t>45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אליהו ביתן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</w:tc>
      </w:tr>
    </w:tbl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33920-03-20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עקב אבו עמאר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2020-07-13T07:48:00Z</dcterms:created>
  <dc:creator> </dc:creator>
  <dc:description/>
  <cp:keywords/>
  <dc:language>en-IL</dc:language>
  <cp:lastModifiedBy>h10</cp:lastModifiedBy>
  <dcterms:modified xsi:type="dcterms:W3CDTF">2020-07-13T07:48:00Z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עקב אבו עמאר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אליהו ביתן </vt:lpwstr>
  </property>
  <property fmtid="{D5CDD505-2E9C-101B-9397-08002B2CF9AE}" pid="12" name="LAWLISTTMP1">
    <vt:lpwstr>70301/144.b2;144.b;499.a.1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33920</vt:lpwstr>
  </property>
  <property fmtid="{D5CDD505-2E9C-101B-9397-08002B2CF9AE}" pid="20" name="NEWPARTB">
    <vt:lpwstr>03</vt:lpwstr>
  </property>
  <property fmtid="{D5CDD505-2E9C-101B-9397-08002B2CF9AE}" pid="21" name="NEWPARTC">
    <vt:lpwstr>20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N_DATE">
    <vt:lpwstr>3901900001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