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34058-05-11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יאדגרוב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אמנון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גליקסברג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בניטה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חנן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יאדגרוב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הרמן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סנ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5" w:name="Links_Start"/>
      <w:bookmarkStart w:id="6" w:name="Links_Start"/>
      <w:bookmarkEnd w:id="6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7" w:name="Links_End"/>
      <w:bookmarkStart w:id="8" w:name="Links_End"/>
      <w:bookmarkEnd w:id="8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3" w:name="Links_Start"/>
      <w:bookmarkStart w:id="14" w:name="Links_Start"/>
      <w:bookmarkEnd w:id="14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bidi w:val="0"/>
              <w:spacing w:before="0" w:after="0"/>
              <w:jc w:val="center"/>
              <w:rPr>
                <w:rFonts w:cs="FrankRuehl"/>
                <w:bCs/>
                <w:sz w:val="28"/>
                <w:szCs w:val="28"/>
              </w:rPr>
            </w:pPr>
            <w:bookmarkStart w:id="15" w:name="PsakDin"/>
            <w:bookmarkEnd w:id="15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bookmarkStart w:id="16" w:name="ABSTRACT_START"/>
      <w:bookmarkEnd w:id="16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").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bookmarkStart w:id="17" w:name="ABSTRACT_END"/>
      <w:bookmarkEnd w:id="17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שהורכב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T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וקליעים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כשמרכיביו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פיצוצו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פארן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וסוללה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והרכיבים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והכניסם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טברקו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שאוהב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אירינה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הזמן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נותן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שטויות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ותמיד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הילדים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נכונה</w:t>
      </w:r>
      <w:r>
        <w:rPr>
          <w:rFonts w:cs="FrankRuehl"/>
          <w:b/>
          <w:bCs/>
          <w:sz w:val="28"/>
          <w:szCs w:val="28"/>
          <w:rtl w:val="true"/>
        </w:rPr>
        <w:t>...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והברגים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קיפוח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Cs w:val="28"/>
          </w:rPr>
          <w:t>657/03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3173/09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פראגין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([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Cs w:val="28"/>
        </w:rPr>
        <w:t>5.5.2009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בזבזתי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הזמן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לחפש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שטויות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2718/04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פואד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דאחל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([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Cs w:val="28"/>
        </w:rPr>
        <w:t>29.3.2004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Normal"/>
        <w:spacing w:lineRule="auto" w:line="360" w:before="280" w:after="280"/>
        <w:ind w:start="1106" w:end="144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  <w:t>"...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הסכנה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הטמונה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מצדיקה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הטלת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הראשונה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בבוא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לתת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משקל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נכבד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לאינטרס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הציבורי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מלבצע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דומות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FrankRuehl"/>
          <w:b/>
          <w:bCs/>
          <w:sz w:val="28"/>
          <w:szCs w:val="28"/>
          <w:rtl w:val="true"/>
        </w:rPr>
        <w:t>. 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והשוו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8"/>
            <w:szCs w:val="28"/>
          </w:rPr>
          <w:t>5066/98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ניעמן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דחלה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 xml:space="preserve">',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תק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99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Cs/>
          <w:sz w:val="28"/>
          <w:szCs w:val="28"/>
        </w:rPr>
        <w:t>3</w:t>
      </w:r>
      <w:r>
        <w:rPr>
          <w:rFonts w:cs="FrankRuehl"/>
          <w:b/>
          <w:bCs/>
          <w:sz w:val="28"/>
          <w:szCs w:val="28"/>
          <w:rtl w:val="true"/>
        </w:rPr>
        <w:t xml:space="preserve">), </w:t>
      </w:r>
      <w:r>
        <w:rPr>
          <w:rFonts w:cs="FrankRuehl"/>
          <w:b/>
          <w:bCs/>
          <w:sz w:val="28"/>
          <w:szCs w:val="28"/>
        </w:rPr>
        <w:t>1574</w:t>
      </w:r>
      <w:r>
        <w:rPr>
          <w:rFonts w:cs="FrankRuehl"/>
          <w:b/>
          <w:bCs/>
          <w:sz w:val="28"/>
          <w:szCs w:val="28"/>
          <w:rtl w:val="true"/>
        </w:rPr>
        <w:t>)".</w:t>
      </w:r>
      <w:r>
        <w:rPr>
          <w:rFonts w:cs="FrankRuehl"/>
          <w:b/>
          <w:b/>
          <w:bCs/>
          <w:color w:val="FFFFFF"/>
          <w:sz w:val="28"/>
          <w:sz w:val="28"/>
          <w:szCs w:val="28"/>
          <w:rtl w:val="true"/>
        </w:rPr>
        <w:t>ו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קריאת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1322/04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Style14"/>
        <w:keepNext w:val="true"/>
        <w:spacing w:lineRule="auto" w:line="360" w:before="0" w:after="0"/>
        <w:ind w:hanging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Style14"/>
        <w:spacing w:lineRule="auto" w:line="360"/>
        <w:ind w:hanging="0" w:start="1106" w:end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המוטל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המבוצעות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מושפעת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מפוטנציאל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הטמון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שעל</w:t>
      </w:r>
      <w:r>
        <w:rPr>
          <w:b/>
          <w:bCs/>
          <w:position w:val="4"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טיבו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להגנה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התקפי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עוצמה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להביא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להרג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הבחנה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ההחזקה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והנשיאה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מיוחדת</w:t>
      </w:r>
      <w:r>
        <w:rPr>
          <w:b/>
          <w:bCs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280" w:after="280"/>
        <w:ind w:start="1106" w:end="1440"/>
        <w:jc w:val="both"/>
        <w:rPr>
          <w:rFonts w:cs="FrankRuehl"/>
          <w:b/>
          <w:bCs/>
          <w:sz w:val="28"/>
          <w:szCs w:val="28"/>
        </w:rPr>
      </w:pPr>
      <w:r>
        <w:rPr>
          <w:rStyle w:val="default"/>
          <w:rFonts w:cs="FrankRuehl"/>
          <w:b/>
          <w:bCs/>
          <w:sz w:val="28"/>
          <w:szCs w:val="28"/>
          <w:rtl w:val="true"/>
        </w:rPr>
        <w:t>"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המייצר</w:t>
      </w:r>
      <w:r>
        <w:rPr>
          <w:rStyle w:val="default"/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מייבא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מייצא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הסוחר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עושה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כל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עסקה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אחרת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שיש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עמה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מסירת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החזקה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לזולתו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בתמורה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ובין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בתמורה</w:t>
      </w:r>
      <w:r>
        <w:rPr>
          <w:rStyle w:val="default"/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בלא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רשות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פי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דין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לעשות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פעולה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כאמור</w:t>
      </w:r>
      <w:r>
        <w:rPr>
          <w:rStyle w:val="default"/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דינו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Cs/>
          <w:sz w:val="28"/>
          <w:szCs w:val="28"/>
          <w:rtl w:val="true"/>
        </w:rPr>
        <w:t xml:space="preserve">-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חמש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עשרה</w:t>
      </w:r>
      <w:r>
        <w:rPr>
          <w:rStyle w:val="default"/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Style w:val="default"/>
          <w:rFonts w:cs="FrankRuehl"/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ייצור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התנהגותי</w:t>
      </w:r>
      <w:r>
        <w:rPr>
          <w:rFonts w:cs="FrankRuehl"/>
          <w:sz w:val="28"/>
          <w:szCs w:val="28"/>
          <w:rtl w:val="true"/>
        </w:rPr>
        <w:t>),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מתגמדות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והתחשבתי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שתלויה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Cs w:val="28"/>
          </w:rPr>
          <w:t>657/03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ידגרוב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280" w:after="2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34058-05-11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חנן יאדגרוב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כללי"/>
    <w:basedOn w:val="Normal"/>
    <w:qFormat/>
    <w:pPr>
      <w:overflowPunct w:val="false"/>
      <w:autoSpaceDE w:val="false"/>
      <w:spacing w:lineRule="exact" w:line="280" w:before="0" w:after="240"/>
      <w:ind w:firstLine="284" w:start="0" w:end="0"/>
      <w:jc w:val="both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007696" TargetMode="External"/><Relationship Id="rId8" Type="http://schemas.openxmlformats.org/officeDocument/2006/relationships/hyperlink" Target="http://www.nevo.co.il/case/5880417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5991408" TargetMode="External"/><Relationship Id="rId11" Type="http://schemas.openxmlformats.org/officeDocument/2006/relationships/hyperlink" Target="http://www.nevo.co.il/case/5872980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case/2007696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2016-06-21T11:54:00Z</dcterms:created>
  <dc:creator> </dc:creator>
  <dc:description/>
  <cp:keywords/>
  <dc:language>en-IL</dc:language>
  <cp:lastModifiedBy>hofit</cp:lastModifiedBy>
  <dcterms:modified xsi:type="dcterms:W3CDTF">2016-06-21T11:54:00Z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חנן יאדגרוב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4658399:4;5612336;2007696:2;5880417;5852404;5991408;5872980</vt:lpwstr>
  </property>
  <property fmtid="{D5CDD505-2E9C-101B-9397-08002B2CF9AE}" pid="9" name="CITY">
    <vt:lpwstr>י-ם</vt:lpwstr>
  </property>
  <property fmtid="{D5CDD505-2E9C-101B-9397-08002B2CF9AE}" pid="10" name="DATE">
    <vt:lpwstr>20111030</vt:lpwstr>
  </property>
  <property fmtid="{D5CDD505-2E9C-101B-9397-08002B2CF9AE}" pid="11" name="DELEMATA">
    <vt:lpwstr>http://elyon2.court.gov.il/scripts9/mgrqispi93.dll?Appname=eScourt&amp;Prgname=GetFileDetails&amp;Arguments=-N2011-009253-0</vt:lpwstr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70301/144.b2:2;144</vt:lpwstr>
  </property>
  <property fmtid="{D5CDD505-2E9C-101B-9397-08002B2CF9AE}" pid="15" name="LAWYER">
    <vt:lpwstr>א' גליקסברג בניטה;אריאל הרמן</vt:lpwstr>
  </property>
  <property fmtid="{D5CDD505-2E9C-101B-9397-08002B2CF9AE}" pid="16" name="LINKK1">
    <vt:lpwstr>http://www.nevo.co.il/Psika_word/mechozi/ME-11-05-34058-973.doc;להחלטה במחוזי (24-05-2011)#תפ 34058-05-11 מדינת ישראל נ' חנן יאדגרוב#שופטים: אמנון כהן#עו''ד: גלברד יעקב, הרמן (סנ"צ)</vt:lpwstr>
  </property>
  <property fmtid="{D5CDD505-2E9C-101B-9397-08002B2CF9AE}" pid="17" name="LINKK2">
    <vt:lpwstr>http://www.nevo.co.il/Psika_word/mechozi/ME-11-05-34058-50.doc;להחלטה במחוזי (09-06-2011)#תפ 34058-05-11 מדינת ישראל נ' חנן יאדגרוב#שופטים: אמנון כהן#עו''ד: ארוסי כהן, הרמן (סנ"צ)</vt:lpwstr>
  </property>
  <property fmtid="{D5CDD505-2E9C-101B-9397-08002B2CF9AE}" pid="18" name="LINKK3">
    <vt:lpwstr>http://www.nevo.co.il/Psika_word/mechozi/ME-11-05-34058-666.doc;להחלטה במחוזי (26-06-2011)#תפ 34058-05-11 מדינת ישראל נ' חנן יאדגרוב#שופטים: אמנון כהן#עו''ד: גלברד יעקב, הרמן (סנ"צ)</vt:lpwstr>
  </property>
  <property fmtid="{D5CDD505-2E9C-101B-9397-08002B2CF9AE}" pid="19" name="LINKK4">
    <vt:lpwstr>http://www.nevo.co.il/Psika_word/mechozi/ME-11-05-34058-393.doc;להחלטה במחוזי (17-07-2011)#תפ 34058-05-11 מדינת ישראל נ' חנן יאדגרוב#שופטים: אמנון כהן#עו''ד: וולפוס, ו הרמן (סנ"צ)</vt:lpwstr>
  </property>
  <property fmtid="{D5CDD505-2E9C-101B-9397-08002B2CF9AE}" pid="20" name="LINKK5">
    <vt:lpwstr>http://www.nevo.co.il/Psika_word/elyon/11092530-d01.doc;להחלטה בעליון (15-12-2011)#עפ 9253/11 מדינת ישראל נ' חנן יאדגרוב#שופטים: גיא שני</vt:lpwstr>
  </property>
  <property fmtid="{D5CDD505-2E9C-101B-9397-08002B2CF9AE}" pid="21" name="NEWPARTA">
    <vt:lpwstr>34058</vt:lpwstr>
  </property>
  <property fmtid="{D5CDD505-2E9C-101B-9397-08002B2CF9AE}" pid="22" name="NEWPARTB">
    <vt:lpwstr>05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390020111030</vt:lpwstr>
  </property>
  <property fmtid="{D5CDD505-2E9C-101B-9397-08002B2CF9AE}" pid="34" name="TYPE_N_DATE">
    <vt:lpwstr>39020111030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