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יובל ליבדרו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פ </w:t>
            </w:r>
            <w:r>
              <w:rPr>
                <w:b/>
                <w:bCs/>
              </w:rPr>
              <w:t>34084-03-20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יולי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12"/>
        <w:ind w:end="0"/>
        <w:jc w:val="start"/>
        <w:rPr>
          <w:rFonts w:ascii="Tahoma" w:hAnsi="Tahoma" w:cs="Tahoma"/>
          <w:b w:val="false"/>
          <w:bCs w:val="false"/>
          <w:color w:val="000080"/>
          <w:sz w:val="20"/>
          <w:szCs w:val="20"/>
          <w:u w:val="none"/>
        </w:rPr>
      </w:pPr>
      <w:r>
        <w:rPr>
          <w:rFonts w:cs="Tahoma" w:ascii="Tahoma" w:hAnsi="Tahoma"/>
          <w:b w:val="false"/>
          <w:bCs w:val="false"/>
          <w:color w:val="000080"/>
          <w:sz w:val="20"/>
          <w:szCs w:val="20"/>
          <w:u w:val="none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איילת קדוש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מחמוד פריגאת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לא בעניינו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פריד אבו עמא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לא בעניינו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זאהר אבו עמא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בעצמו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בעניינו 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אייל אביטל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נעמאן אבו פרחאן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לא בעניינו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  <w:u w:val="none"/>
        </w:rPr>
      </w:pPr>
      <w:r>
        <w:rPr>
          <w:b/>
          <w:bCs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PsakDin"/>
      <w:bookmarkEnd w:id="7"/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 xml:space="preserve">כנגד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ושלושה נוספים</w:t>
      </w:r>
      <w:r>
        <w:rPr>
          <w:rtl w:val="true"/>
        </w:rPr>
        <w:t xml:space="preserve">, </w:t>
      </w:r>
      <w:r>
        <w:rPr>
          <w:rtl w:val="true"/>
        </w:rPr>
        <w:t>הוגש כתב אישום משותף במסגרתו יוחסו להם עבירות נשק שונות ועבירות נלוות</w:t>
      </w:r>
      <w:r>
        <w:rPr>
          <w:rtl w:val="true"/>
        </w:rPr>
        <w:t xml:space="preserve">. </w:t>
      </w:r>
      <w:r>
        <w:rPr>
          <w:rtl w:val="true"/>
        </w:rPr>
        <w:t>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הגיעה המאשימה עם כל אחד מהנאשמים להסדר טיעון</w:t>
      </w:r>
      <w:r>
        <w:rPr>
          <w:rtl w:val="true"/>
        </w:rPr>
        <w:t xml:space="preserve">, </w:t>
      </w:r>
      <w:r>
        <w:rPr>
          <w:rtl w:val="true"/>
        </w:rPr>
        <w:t>מה שהוביל להגשת מספר כתבי אישום מתוקנים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כנגד הנאשם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שבעניינו ניתן גזר דין זה</w:t>
      </w:r>
      <w:r>
        <w:rPr>
          <w:rtl w:val="true"/>
        </w:rPr>
        <w:t xml:space="preserve">, </w:t>
      </w:r>
      <w:r>
        <w:rPr>
          <w:rtl w:val="true"/>
        </w:rPr>
        <w:t>הגיעה המאשימה להסדר טיעון הכולל כתב אישום מתוקן נפרד</w:t>
      </w:r>
      <w:r>
        <w:rPr>
          <w:rtl w:val="true"/>
        </w:rPr>
        <w:t xml:space="preserve">, </w:t>
      </w:r>
      <w:r>
        <w:rPr>
          <w:rtl w:val="true"/>
        </w:rPr>
        <w:t xml:space="preserve">יחד עם הנאשם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באותו כתב אישום מופרד</w:t>
      </w:r>
      <w:r>
        <w:rPr>
          <w:rtl w:val="true"/>
        </w:rPr>
        <w:t xml:space="preserve">, </w:t>
      </w:r>
      <w:r>
        <w:rPr>
          <w:rtl w:val="true"/>
        </w:rPr>
        <w:t xml:space="preserve">כונה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במסגרת גזר דין זה</w:t>
      </w:r>
      <w:r>
        <w:rPr>
          <w:rtl w:val="true"/>
        </w:rPr>
        <w:t xml:space="preserve">, </w:t>
      </w:r>
      <w:r>
        <w:rPr>
          <w:rtl w:val="true"/>
        </w:rPr>
        <w:t xml:space="preserve">יכונה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 הורשע על פי הודאתו במסגרת הסדר טיעון בכתב אישום מתוקן המייחס לו עבירה של סיוע לסחר בתחמושת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8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3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בהתאם לעובדות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19.02.2020</w:t>
      </w:r>
      <w:r>
        <w:rPr>
          <w:rtl w:val="true"/>
        </w:rPr>
        <w:t xml:space="preserve">, </w:t>
      </w:r>
      <w:r>
        <w:rPr>
          <w:rtl w:val="true"/>
        </w:rPr>
        <w:t>כשנה קודם לכן לערך</w:t>
      </w:r>
      <w:r>
        <w:rPr>
          <w:rtl w:val="true"/>
        </w:rPr>
        <w:t xml:space="preserve">, </w:t>
      </w:r>
      <w:r>
        <w:rPr>
          <w:rtl w:val="true"/>
        </w:rPr>
        <w:t xml:space="preserve">פנה הנאשם לאחר וביקש ממנו לספק לו כדורי תחמושת לנשק מסוג </w:t>
      </w:r>
      <w:r>
        <w:rPr/>
        <w:t>M16</w:t>
      </w:r>
      <w:r>
        <w:rPr>
          <w:rtl w:val="true"/>
        </w:rPr>
        <w:t xml:space="preserve">. </w:t>
      </w:r>
      <w:r>
        <w:rPr>
          <w:rtl w:val="true"/>
        </w:rPr>
        <w:t>האחר השיב לנאשם כי ינסה להשיג לו את כדורי התחמושת שביקש</w:t>
      </w:r>
      <w:r>
        <w:rPr>
          <w:rtl w:val="true"/>
        </w:rPr>
        <w:t xml:space="preserve">.  </w:t>
      </w:r>
      <w:r>
        <w:rPr>
          <w:rtl w:val="true"/>
        </w:rPr>
        <w:t xml:space="preserve">במהלך התקופה האמורה נהג האחר לפקוד שטחים צבאיים בהם הצבא עורך אימונים והיה נוהג לאסוף תחמושת מסוג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אשר נותרה בשטח מאימוני הצבא</w:t>
      </w:r>
      <w:r>
        <w:rPr>
          <w:rtl w:val="true"/>
        </w:rPr>
        <w:t xml:space="preserve">. </w:t>
      </w:r>
      <w:r>
        <w:rPr>
          <w:rtl w:val="true"/>
        </w:rPr>
        <w:t>האחר עשה כן במשך כשלושה עד ארבעה חודשים</w:t>
      </w:r>
      <w:r>
        <w:rPr>
          <w:rtl w:val="true"/>
        </w:rPr>
        <w:t xml:space="preserve">. </w:t>
      </w:r>
      <w:r>
        <w:rPr>
          <w:rtl w:val="true"/>
        </w:rPr>
        <w:t xml:space="preserve">לאחר שהאחר אסף תחמושת בשלושה ארגזי </w:t>
      </w:r>
      <w:r>
        <w:rPr>
          <w:rtl w:val="true"/>
        </w:rPr>
        <w:t>"</w:t>
      </w:r>
      <w:r>
        <w:rPr>
          <w:rtl w:val="true"/>
        </w:rPr>
        <w:t>ברוס</w:t>
      </w:r>
      <w:r>
        <w:rPr>
          <w:rtl w:val="true"/>
        </w:rPr>
        <w:t xml:space="preserve">", </w:t>
      </w:r>
      <w:r>
        <w:rPr>
          <w:rtl w:val="true"/>
        </w:rPr>
        <w:t>יצר האחר קשר עם הנאשם והודיע לו כי ארגזי התחמושת ובהם הכדורים מוכנים למסירה</w:t>
      </w:r>
      <w:r>
        <w:rPr>
          <w:rtl w:val="true"/>
        </w:rPr>
        <w:t xml:space="preserve">. </w:t>
      </w:r>
      <w:r>
        <w:rPr>
          <w:rtl w:val="true"/>
        </w:rPr>
        <w:t>בסמוך לפני ה</w:t>
      </w:r>
      <w:r>
        <w:rPr>
          <w:rtl w:val="true"/>
        </w:rPr>
        <w:t>-</w:t>
      </w:r>
      <w:r>
        <w:rPr/>
        <w:t>19.12.2020</w:t>
      </w:r>
      <w:r>
        <w:rPr>
          <w:rtl w:val="true"/>
        </w:rPr>
        <w:t xml:space="preserve">, </w:t>
      </w:r>
      <w:r>
        <w:rPr>
          <w:rtl w:val="true"/>
        </w:rPr>
        <w:t>הגיע הנאשם לרהט ופגש באחר</w:t>
      </w:r>
      <w:r>
        <w:rPr>
          <w:rtl w:val="true"/>
        </w:rPr>
        <w:t xml:space="preserve">. </w:t>
      </w:r>
      <w:r>
        <w:rPr>
          <w:rtl w:val="true"/>
        </w:rPr>
        <w:t>שם מסר האחר לנאשם את שלושת הארגזים ובהם הכדורים לנשק</w:t>
      </w:r>
      <w:r>
        <w:rPr>
          <w:rtl w:val="true"/>
        </w:rPr>
        <w:t xml:space="preserve">. </w:t>
      </w:r>
      <w:r>
        <w:rPr>
          <w:rtl w:val="true"/>
        </w:rPr>
        <w:t xml:space="preserve">הנאשם העמיס את הכדורים לרכבו ובתמורה שילם הנאשם לאחר סך של </w:t>
      </w:r>
      <w:r>
        <w:rPr/>
        <w:t>6,000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19.2.2020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 xml:space="preserve">או בסמוך לכך סיכם הנאשם יחד עם שותפו כתב האישום ועם אחר להוביל תחמושת ולצורך כך נפגשו בשטח ביתו של הנאשם ושותפו לכתב האישום העמיסו בזה התחמושת שכללו </w:t>
      </w:r>
      <w:r>
        <w:rPr/>
        <w:t>4,500</w:t>
      </w:r>
      <w:r>
        <w:rPr>
          <w:rtl w:val="true"/>
        </w:rPr>
        <w:t xml:space="preserve"> </w:t>
      </w:r>
      <w:r>
        <w:rPr>
          <w:rtl w:val="true"/>
        </w:rPr>
        <w:t>כדורים לרכב אחר</w:t>
      </w:r>
      <w:r>
        <w:rPr>
          <w:rtl w:val="true"/>
        </w:rPr>
        <w:t xml:space="preserve">. </w:t>
      </w:r>
      <w:r>
        <w:rPr>
          <w:rtl w:val="true"/>
        </w:rPr>
        <w:t>הנאשם עלה על רכבו ונסע לפני הרכב האחר בו נסעו שותפו לכתב האישום ואחר וזאת על מנת לחפות על סמוך למחסום מיתר</w:t>
      </w:r>
      <w:r>
        <w:rPr>
          <w:rtl w:val="true"/>
        </w:rPr>
        <w:t xml:space="preserve">. </w:t>
      </w:r>
      <w:r>
        <w:rPr>
          <w:rtl w:val="true"/>
        </w:rPr>
        <w:t>הנאשם הצליח לעבור את הבידוק ולהימלט במחסום ואילו הרכב בו היה התחמושת עם שותפו לכתב האישום ואחר נעצר לאחר שהם ניסו לברוח מעל דוקרנים</w:t>
      </w:r>
      <w:r>
        <w:rPr>
          <w:rtl w:val="true"/>
        </w:rPr>
        <w:t xml:space="preserve">. </w:t>
      </w:r>
      <w:r>
        <w:rPr>
          <w:rtl w:val="true"/>
        </w:rPr>
        <w:t>אותם שניים נטשו פיזית את הרכב ונמלטו רגלית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במסגרת ההסדר הצדדים עתרו לעונשים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המעצר – </w:t>
      </w:r>
      <w:r>
        <w:rPr/>
        <w:t>17.02.2020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 ימי מאסר תמורתו ומאסר על תנאי לשיקול דעת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בהתחשב בהודאת הנאשם</w:t>
      </w:r>
      <w:r>
        <w:rPr>
          <w:rtl w:val="true"/>
        </w:rPr>
        <w:t xml:space="preserve">, </w:t>
      </w:r>
      <w:r>
        <w:rPr>
          <w:rtl w:val="true"/>
        </w:rPr>
        <w:t>הודאה שיש בה משום קבלת אחריות וחיסכון בזמן שיפוטי</w:t>
      </w:r>
      <w:r>
        <w:rPr>
          <w:rtl w:val="true"/>
        </w:rPr>
        <w:t xml:space="preserve">;  </w:t>
      </w:r>
      <w:r>
        <w:rPr>
          <w:rtl w:val="true"/>
        </w:rPr>
        <w:t>בהתחשב בעובדה שלנאשם אין עבר פלילי</w:t>
      </w:r>
      <w:r>
        <w:rPr>
          <w:rtl w:val="true"/>
        </w:rPr>
        <w:t xml:space="preserve">; </w:t>
      </w:r>
      <w:r>
        <w:rPr>
          <w:rtl w:val="true"/>
        </w:rPr>
        <w:t>בהתחשב 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ובהתחשב בקושי הראייתי שעמד בייסוד ההסדר כעולה מטיעוני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אני מוצא לנכון לכבד את ההסדר</w:t>
      </w:r>
      <w:r>
        <w:rPr>
          <w:rtl w:val="true"/>
        </w:rPr>
        <w:t>.</w:t>
      </w:r>
    </w:p>
    <w:p>
      <w:pPr>
        <w:pStyle w:val="Style12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 שיימנו מיום 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מן המאסר</w:t>
      </w:r>
      <w:r>
        <w:rPr>
          <w:rtl w:val="true"/>
        </w:rPr>
        <w:t xml:space="preserve">, </w:t>
      </w:r>
      <w:r>
        <w:rPr>
          <w:rtl w:val="true"/>
        </w:rPr>
        <w:t xml:space="preserve">שהנאשם לא יעבור עבירת נשק לפי </w:t>
      </w:r>
      <w:hyperlink r:id="rId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על חלופותיו השונות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שיעורים חודשיים שווים ורצופים החל מיום </w:t>
      </w:r>
      <w:r>
        <w:rPr/>
        <w:t>3.1.2021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לבית המשפט העליון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1" w:name="Nitan"/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14/07/2020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יובל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ליבדרו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מורל</w:t>
      </w:r>
      <w:r>
        <w:rPr>
          <w:rtl w:val="true"/>
        </w:rPr>
        <w:t xml:space="preserve"> </w:t>
      </w:r>
      <w:r>
        <w:rPr>
          <w:rtl w:val="true"/>
        </w:rPr>
        <w:t>שיטרית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34084-03-20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פריגאת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4084-03-20"/>
    <w:docVar w:name="caseId" w:val="77275362"/>
    <w:docVar w:name="deriveClass" w:val="NGCS.Protocol.BL.Client.ProtocolBLClientCriminal"/>
    <w:docVar w:name="firstPageNumber" w:val="1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1"/>
    <w:docVar w:name="protocolId" w:val="10697676"/>
    <w:docVar w:name="releaseSign" w:val="0"/>
    <w:docVar w:name="sittingDateTime" w:val="14/07/2020 12:00     "/>
    <w:docVar w:name="sittingId" w:val="89062235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2">
    <w:name w:val="פיסקת רשימה"/>
    <w:basedOn w:val="Normal"/>
    <w:qFormat/>
    <w:pPr>
      <w:spacing w:before="0" w:after="0"/>
      <w:ind w:hanging="0" w:start="720" w:end="0"/>
      <w:contextualSpacing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2.3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.2.3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2020-07-15T07:54:00Z</dcterms:created>
  <dc:creator> </dc:creator>
  <dc:description/>
  <cp:keywords/>
  <dc:language>en-IL</dc:language>
  <cp:lastModifiedBy>hofit</cp:lastModifiedBy>
  <cp:lastPrinted>2020-07-14T12:24:00Z</cp:lastPrinted>
  <dcterms:modified xsi:type="dcterms:W3CDTF">2020-07-15T07:54:00Z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פריגאת;פריד אבו עמאר;זאהר אבו עמאר;נעמאן אבו פרחאן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20200714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יובל ליבדרו</vt:lpwstr>
  </property>
  <property fmtid="{D5CDD505-2E9C-101B-9397-08002B2CF9AE}" pid="13" name="LAWLISTTMP1">
    <vt:lpwstr>70301/144.b2;144.c.2.3;031;144</vt:lpwstr>
  </property>
  <property fmtid="{D5CDD505-2E9C-101B-9397-08002B2CF9AE}" pid="14" name="LAWYER">
    <vt:lpwstr>איילת קדוש;אייל אביטל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34084</vt:lpwstr>
  </property>
  <property fmtid="{D5CDD505-2E9C-101B-9397-08002B2CF9AE}" pid="21" name="NEWPARTB">
    <vt:lpwstr>03</vt:lpwstr>
  </property>
  <property fmtid="{D5CDD505-2E9C-101B-9397-08002B2CF9AE}" pid="22" name="NEWPARTC">
    <vt:lpwstr>20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390020200714</vt:lpwstr>
  </property>
  <property fmtid="{D5CDD505-2E9C-101B-9397-08002B2CF9AE}" pid="33" name="TYPE_N_DATE">
    <vt:lpwstr>39020200714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