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34179-05-11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דיצ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120"/>
        <w:gridCol w:w="177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ascii="Arial" w:hAnsi="Arial" w:cs="FrankRuehl"/>
                <w:rtl w:val="true"/>
              </w:rPr>
              <w:t>ב</w:t>
            </w:r>
            <w:r>
              <w:rPr>
                <w:rFonts w:ascii="Arial" w:hAnsi="Arial" w:cs="FrankRuehl"/>
                <w:rtl w:val="true"/>
              </w:rPr>
              <w:t>פני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ascii="Arial" w:hAnsi="Arial" w:cs="FrankRuehl"/>
                <w:rtl w:val="true"/>
              </w:rPr>
              <w:t>בעניין</w:t>
            </w:r>
            <w:r>
              <w:rPr>
                <w:rFonts w:cs="FrankRuehl" w:ascii="Arial" w:hAnsi="Arial"/>
                <w:rtl w:val="true"/>
              </w:rPr>
              <w:t>:</w:t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</w:rPr>
            </w:pPr>
            <w:r>
              <w:rPr>
                <w:rFonts w:ascii="Arial" w:hAnsi="Arial" w:cs="FrankRuehl"/>
                <w:rtl w:val="true"/>
              </w:rPr>
              <w:t>מדינת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ישראל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</w:rPr>
            </w:pPr>
            <w:r>
              <w:rPr>
                <w:rFonts w:ascii="Arial" w:hAnsi="Arial" w:cs="FrankRuehl"/>
                <w:rtl w:val="true"/>
              </w:rPr>
              <w:t>ע</w:t>
            </w:r>
            <w:r>
              <w:rPr>
                <w:rFonts w:cs="FrankRuehl" w:ascii="Arial" w:hAnsi="Arial"/>
                <w:rtl w:val="true"/>
              </w:rPr>
              <w:t>"</w:t>
            </w:r>
            <w:r>
              <w:rPr>
                <w:rFonts w:ascii="Arial" w:hAnsi="Arial" w:cs="FrankRuehl"/>
                <w:rtl w:val="true"/>
              </w:rPr>
              <w:t>י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פרקליטות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מחוז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חיפה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cs="FrankRuehl" w:ascii="Arial" w:hAnsi="Arial"/>
                <w:rtl w:val="true"/>
              </w:rPr>
              <w:t>(</w:t>
            </w:r>
            <w:r>
              <w:rPr>
                <w:rFonts w:ascii="Arial" w:hAnsi="Arial" w:cs="FrankRuehl"/>
                <w:rtl w:val="true"/>
              </w:rPr>
              <w:t>פלילי</w:t>
            </w:r>
            <w:r>
              <w:rPr>
                <w:rFonts w:cs="FrankRuehl" w:ascii="Arial" w:hAnsi="Arial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</w:rPr>
            </w:pPr>
            <w:r>
              <w:rPr>
                <w:rFonts w:ascii="Arial" w:hAnsi="Arial" w:cs="FrankRuehl"/>
                <w:rtl w:val="true"/>
              </w:rPr>
              <w:t>ה</w:t>
            </w:r>
            <w:r>
              <w:rPr>
                <w:rFonts w:ascii="Arial" w:hAnsi="Arial" w:cs="FrankRuehl"/>
                <w:rtl w:val="true"/>
              </w:rPr>
              <w:t>מאשימה</w:t>
            </w:r>
          </w:p>
          <w:p>
            <w:pPr>
              <w:pStyle w:val="Normal"/>
              <w:ind w:end="0"/>
              <w:jc w:val="end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ascii="Arial" w:hAnsi="Arial" w:cs="FrankRuehl"/>
                <w:b/>
                <w:b/>
                <w:bCs/>
                <w:rtl w:val="true"/>
              </w:rPr>
              <w:t>מהאדי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rtl w:val="true"/>
              </w:rPr>
              <w:t>בדר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cs="FrankRuehl" w:ascii="Arial" w:hAnsi="Arial"/>
                <w:rtl w:val="true"/>
              </w:rPr>
              <w:t>(</w:t>
            </w:r>
            <w:r>
              <w:rPr>
                <w:rFonts w:ascii="Arial" w:hAnsi="Arial" w:cs="FrankRuehl"/>
                <w:rtl w:val="true"/>
              </w:rPr>
              <w:t>עציר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מיום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cs="FrankRuehl" w:ascii="Arial" w:hAnsi="Arial"/>
              </w:rPr>
              <w:t>8.5.11</w:t>
            </w:r>
            <w:r>
              <w:rPr>
                <w:rFonts w:cs="FrankRuehl" w:ascii="Arial" w:hAnsi="Arial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ascii="Arial" w:hAnsi="Arial" w:cs="FrankRuehl"/>
                <w:rtl w:val="true"/>
              </w:rPr>
              <w:t>ת</w:t>
            </w:r>
            <w:r>
              <w:rPr>
                <w:rFonts w:cs="FrankRuehl" w:ascii="Arial" w:hAnsi="Arial"/>
                <w:rtl w:val="true"/>
              </w:rPr>
              <w:t>.</w:t>
            </w:r>
            <w:r>
              <w:rPr>
                <w:rFonts w:ascii="Arial" w:hAnsi="Arial" w:cs="FrankRuehl"/>
                <w:rtl w:val="true"/>
              </w:rPr>
              <w:t>ז</w:t>
            </w:r>
            <w:r>
              <w:rPr>
                <w:rFonts w:cs="FrankRuehl" w:ascii="Arial" w:hAnsi="Arial"/>
                <w:rtl w:val="true"/>
              </w:rPr>
              <w:t xml:space="preserve">. </w:t>
            </w:r>
            <w:r>
              <w:rPr>
                <w:rFonts w:cs="FrankRuehl" w:ascii="Arial" w:hAnsi="Arial"/>
              </w:rPr>
              <w:t>xxxxxxxxxx</w:t>
            </w:r>
            <w:r>
              <w:rPr>
                <w:rFonts w:ascii="Arial" w:hAnsi="Arial" w:cs="FrankRuehl"/>
                <w:rtl w:val="true"/>
              </w:rPr>
              <w:t>יליד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cs="FrankRuehl" w:ascii="Arial" w:hAnsi="Arial"/>
              </w:rPr>
              <w:t>1984</w:t>
            </w:r>
            <w:r>
              <w:rPr>
                <w:rFonts w:cs="FrankRuehl" w:ascii="Arial" w:hAnsi="Arial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rtl w:val="true"/>
              </w:rPr>
              <w:t>ע</w:t>
            </w:r>
            <w:r>
              <w:rPr>
                <w:rFonts w:cs="FrankRuehl" w:ascii="Arial" w:hAnsi="Arial"/>
                <w:rtl w:val="true"/>
              </w:rPr>
              <w:t>"</w:t>
            </w:r>
            <w:r>
              <w:rPr>
                <w:rFonts w:ascii="Arial" w:hAnsi="Arial" w:cs="FrankRuehl"/>
                <w:rtl w:val="true"/>
              </w:rPr>
              <w:t>י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ב</w:t>
            </w:r>
            <w:r>
              <w:rPr>
                <w:rFonts w:cs="FrankRuehl" w:ascii="Arial" w:hAnsi="Arial"/>
                <w:rtl w:val="true"/>
              </w:rPr>
              <w:t>"</w:t>
            </w:r>
            <w:r>
              <w:rPr>
                <w:rFonts w:ascii="Arial" w:hAnsi="Arial" w:cs="FrankRuehl"/>
                <w:rtl w:val="true"/>
              </w:rPr>
              <w:t>כ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עו</w:t>
            </w:r>
            <w:r>
              <w:rPr>
                <w:rFonts w:cs="FrankRuehl" w:ascii="Arial" w:hAnsi="Arial"/>
                <w:rtl w:val="true"/>
              </w:rPr>
              <w:t>"</w:t>
            </w:r>
            <w:r>
              <w:rPr>
                <w:rFonts w:ascii="Arial" w:hAnsi="Arial" w:cs="FrankRuehl"/>
                <w:rtl w:val="true"/>
              </w:rPr>
              <w:t>ד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באסם</w:t>
            </w:r>
            <w:r>
              <w:rPr>
                <w:rFonts w:ascii="Arial" w:hAnsi="Arial" w:eastAsia="Arial" w:cs="Arial"/>
                <w:rtl w:val="true"/>
              </w:rPr>
              <w:t xml:space="preserve"> </w:t>
            </w:r>
            <w:r>
              <w:rPr>
                <w:rFonts w:ascii="Arial" w:hAnsi="Arial" w:cs="FrankRuehl"/>
                <w:rtl w:val="true"/>
              </w:rPr>
              <w:t>פלאח</w:t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</w:rPr>
            </w:pPr>
            <w:r>
              <w:rPr>
                <w:rFonts w:ascii="Arial" w:hAnsi="Arial" w:cs="FrankRuehl"/>
                <w:rtl w:val="true"/>
              </w:rPr>
              <w:t>ה</w:t>
            </w:r>
            <w:r>
              <w:rPr>
                <w:rFonts w:ascii="Arial" w:hAnsi="Arial" w:cs="FrankRuehl"/>
                <w:rtl w:val="true"/>
              </w:rPr>
              <w:t>נאש</w:t>
            </w:r>
            <w:r>
              <w:rPr>
                <w:rFonts w:ascii="Arial" w:hAnsi="Arial" w:cs="FrankRuehl"/>
                <w:rtl w:val="true"/>
              </w:rPr>
              <w:t>ם</w:t>
            </w:r>
          </w:p>
          <w:p>
            <w:pPr>
              <w:pStyle w:val="Normal"/>
              <w:ind w:end="0"/>
              <w:jc w:val="end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  <w:bookmarkStart w:id="5" w:name="LawTable"/>
            <w:bookmarkStart w:id="6" w:name="PsakDin"/>
            <w:bookmarkStart w:id="7" w:name="LawTable"/>
            <w:bookmarkStart w:id="8" w:name="PsakDin"/>
            <w:bookmarkEnd w:id="7"/>
            <w:bookmarkEnd w:id="8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  <w:bookmarkStart w:id="9" w:name="LawTable_End"/>
            <w:bookmarkStart w:id="10" w:name="LawTable_End"/>
            <w:bookmarkEnd w:id="10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</w:rPr>
            </w:pPr>
            <w:r>
              <w:rPr>
                <w:rFonts w:cs="FrankRuehl" w:ascii="Arial" w:hAnsi="Aria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u w:val="single"/>
              </w:rPr>
            </w:pPr>
            <w:r>
              <w:rPr>
                <w:rFonts w:cs="FrankRuehl" w:ascii="Arial" w:hAnsi="Arial"/>
                <w:b/>
                <w:bCs/>
                <w:u w:val="single"/>
                <w:rtl w:val="true"/>
              </w:rPr>
            </w:r>
            <w:bookmarkStart w:id="11" w:name="PsakDin"/>
            <w:bookmarkStart w:id="12" w:name="PsakDin"/>
            <w:bookmarkEnd w:id="12"/>
          </w:p>
        </w:tc>
      </w:tr>
    </w:tbl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8.5.11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ובשניה</w:t>
      </w:r>
      <w:r>
        <w:rPr>
          <w:rtl w:val="true"/>
        </w:rPr>
        <w:t xml:space="preserve">,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r>
        <w:rPr>
          <w:rtl w:val="true"/>
        </w:rPr>
        <w:t xml:space="preserve">, </w:t>
      </w:r>
      <w:r>
        <w:rPr>
          <w:rtl w:val="true"/>
        </w:rPr>
        <w:t>לשאתם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8.5.11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סכרת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כשהסנגור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ומחילה</w:t>
      </w:r>
      <w:r>
        <w:rPr>
          <w:rtl w:val="true"/>
        </w:rPr>
        <w:t xml:space="preserve">.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כקריעת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4272/04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), </w:t>
      </w:r>
      <w:r>
        <w:rPr>
          <w:color w:val="000000"/>
        </w:rPr>
        <w:t>175</w:t>
      </w:r>
      <w:r>
        <w:rPr>
          <w:color w:val="000000"/>
          <w:rtl w:val="true"/>
        </w:rPr>
        <w:t xml:space="preserve">,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2012/79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), </w:t>
      </w:r>
      <w:r>
        <w:rPr>
          <w:color w:val="000000"/>
        </w:rPr>
        <w:t>421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1399/91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ליבוביץ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177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exact" w:line="320" w:before="0" w:after="80"/>
        <w:ind w:end="0"/>
        <w:jc w:val="both"/>
        <w:rPr>
          <w:sz w:val="22"/>
        </w:rPr>
      </w:pP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433/89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ג</w:t>
        </w:r>
        <w:r>
          <w:rPr>
            <w:rStyle w:val="Hyperlink"/>
            <w:sz w:val="22"/>
            <w:rtl w:val="true"/>
          </w:rPr>
          <w:t>'</w:t>
        </w:r>
        <w:r>
          <w:rPr>
            <w:rStyle w:val="Hyperlink"/>
            <w:sz w:val="22"/>
            <w:sz w:val="22"/>
            <w:rtl w:val="true"/>
          </w:rPr>
          <w:t>ורג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אטיאס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  <w:sz w:val="22"/>
            <w:rtl w:val="true"/>
          </w:rPr>
          <w:t>מידת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מ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ג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</w:rPr>
        <w:t>170</w:t>
      </w:r>
      <w:r>
        <w:rPr>
          <w:sz w:val="22"/>
          <w:rtl w:val="true"/>
        </w:rPr>
        <w:t xml:space="preserve">, </w:t>
      </w:r>
      <w:r>
        <w:rPr>
          <w:sz w:val="22"/>
        </w:rPr>
        <w:t>174</w:t>
      </w:r>
      <w:r>
        <w:rPr>
          <w:sz w:val="22"/>
          <w:rtl w:val="true"/>
        </w:rPr>
        <w:t>).</w:t>
      </w:r>
    </w:p>
    <w:p>
      <w:pPr>
        <w:pStyle w:val="Normal"/>
        <w:spacing w:lineRule="exact" w:line="320" w:before="0" w:after="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14.9.11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162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ההשקפה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 xml:space="preserve">..."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FrankRuehl"/>
          <w:rtl w:val="true"/>
        </w:rPr>
        <w:tab/>
      </w:r>
    </w:p>
    <w:p>
      <w:pPr>
        <w:pStyle w:val="Normal"/>
        <w:spacing w:lineRule="auto" w:line="360"/>
        <w:ind w:start="720" w:end="1620"/>
        <w:jc w:val="both"/>
        <w:rPr>
          <w:rFonts w:cs="FrankRuehl"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5.12.11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שמימדיהן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ומתעצמים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8.5.11</w:t>
      </w:r>
      <w:r>
        <w:rPr>
          <w:rtl w:val="true"/>
        </w:rPr>
        <w:t xml:space="preserve">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יב בכסלו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שיינמן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שהובא באמצעות הליווי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דבאח מטעמו של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פלאח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"/>
          <w:szCs w:val="2"/>
        </w:rPr>
      </w:pPr>
      <w:r>
        <w:rPr>
          <w:rFonts w:cs="FrankRuehl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34179-05-11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מהאדי בדר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b" TargetMode="External"/><Relationship Id="rId4" Type="http://schemas.openxmlformats.org/officeDocument/2006/relationships/hyperlink" Target="http://www.nevo.co.il/law/70301/144.a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151556" TargetMode="External"/><Relationship Id="rId7" Type="http://schemas.openxmlformats.org/officeDocument/2006/relationships/hyperlink" Target="http://www.nevo.co.il/case/6219326" TargetMode="External"/><Relationship Id="rId8" Type="http://schemas.openxmlformats.org/officeDocument/2006/relationships/hyperlink" Target="http://www.nevo.co.il/case/17914714" TargetMode="External"/><Relationship Id="rId9" Type="http://schemas.openxmlformats.org/officeDocument/2006/relationships/hyperlink" Target="http://www.nevo.co.il/case/17911771" TargetMode="External"/><Relationship Id="rId10" Type="http://schemas.openxmlformats.org/officeDocument/2006/relationships/hyperlink" Target="http://www.nevo.co.il/case/17941073" TargetMode="External"/><Relationship Id="rId11" Type="http://schemas.openxmlformats.org/officeDocument/2006/relationships/hyperlink" Target="http://www.nevo.co.il/case/6151556" TargetMode="External"/><Relationship Id="rId12" Type="http://schemas.openxmlformats.org/officeDocument/2006/relationships/hyperlink" Target="http://www.nevo.co.il/case/5692319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2016-06-21T11:54:00Z</dcterms:created>
  <dc:creator> </dc:creator>
  <dc:description/>
  <cp:keywords/>
  <dc:language>en-IL</dc:language>
  <cp:lastModifiedBy>hofit</cp:lastModifiedBy>
  <dcterms:modified xsi:type="dcterms:W3CDTF">2016-06-21T11:54:00Z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מהאדי בדר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6151556:2;6219326;17914714;17911771;17941073;5692319</vt:lpwstr>
  </property>
  <property fmtid="{D5CDD505-2E9C-101B-9397-08002B2CF9AE}" pid="9" name="CITY">
    <vt:lpwstr>חי'</vt:lpwstr>
  </property>
  <property fmtid="{D5CDD505-2E9C-101B-9397-08002B2CF9AE}" pid="10" name="DATE">
    <vt:lpwstr>20111208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70301/144.a.b</vt:lpwstr>
  </property>
  <property fmtid="{D5CDD505-2E9C-101B-9397-08002B2CF9AE}" pid="15" name="LAWYER">
    <vt:lpwstr>באסם פלאח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34179</vt:lpwstr>
  </property>
  <property fmtid="{D5CDD505-2E9C-101B-9397-08002B2CF9AE}" pid="22" name="NEWPARTB">
    <vt:lpwstr>05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390020111208</vt:lpwstr>
  </property>
  <property fmtid="{D5CDD505-2E9C-101B-9397-08002B2CF9AE}" pid="34" name="TYPE_N_DATE">
    <vt:lpwstr>39020111208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