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456"/>
        <w:gridCol w:w="315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3429-07-20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אגבאריה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השופטת  גלית ציגלר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באמצעות פרקליטות מחוז חיפה </w:t>
            </w:r>
            <w:r>
              <w:rPr>
                <w:rFonts w:ascii="David" w:hAnsi="David"/>
                <w:rtl w:val="true"/>
              </w:rPr>
              <w:t>–</w:t>
            </w:r>
            <w:r>
              <w:rPr>
                <w:rFonts w:ascii="David" w:hAnsi="David"/>
                <w:rtl w:val="true"/>
              </w:rPr>
              <w:t xml:space="preserve"> 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סיוון קוסטר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קיס אגבאריה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יוסף סלימאן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יליד </w:t>
      </w:r>
      <w:r>
        <w:rPr>
          <w:rFonts w:cs="David" w:ascii="David" w:hAnsi="David"/>
          <w:sz w:val="24"/>
          <w:szCs w:val="24"/>
        </w:rPr>
        <w:t>1995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בעובדות כתב אישום מתוקן בעבירות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333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19">
        <w:r>
          <w:rPr>
            <w:rStyle w:val="Hyperlink"/>
            <w:rFonts w:cs="David" w:ascii="David" w:hAnsi="David"/>
            <w:sz w:val="24"/>
            <w:szCs w:val="24"/>
          </w:rPr>
          <w:t>335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וסיפא </w:t>
      </w:r>
      <w:r>
        <w:rPr>
          <w:rFonts w:cs="David" w:ascii="David" w:hAnsi="David"/>
          <w:sz w:val="24"/>
          <w:szCs w:val="24"/>
          <w:rtl w:val="true"/>
        </w:rPr>
        <w:t>+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לחוק ועבירה של ירי מנשק חם באזור מגורים לפי </w:t>
      </w:r>
      <w:hyperlink r:id="rId2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)+(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9" w:name="ABSTRACT_END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הודאת הנאשם באה במסגרת הסדר טיעון אליו הגיעו הצדדים ביום </w:t>
      </w:r>
      <w:r>
        <w:rPr>
          <w:rFonts w:cs="David" w:ascii="David" w:hAnsi="David"/>
          <w:sz w:val="24"/>
          <w:szCs w:val="24"/>
        </w:rPr>
        <w:t>13.07.21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שנשמעו עדי תביעה רבים ובהם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הסדר הטיעון כלל תיקון בעובדות כתב האישום ובסעיפי החיקוק ולא כלל הסכמות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המתואר בכתב האישום המתוקן הנאשם והמתלונן הם קרובי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ובמועדים הרלוונטיים לביצוע העבירות שררו ביניהם יחסי חברות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14.06.20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20:00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נפגשו השניים בביתו של הנאשם בשכונת אלמידאן באום אלפחם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שהנאשם ביקש מהמתלונן להגיע לשם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מסוים במהלך המפגש עברו השניים לשבת ולשוחח בפינת ישיבה הנמצאת בחצר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מועד החזיק ונשא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רישיון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חצי אוטומטי מסוג סיג סאוור טעון בתחמושת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או נשק אחר המטביע סימנים סוגיים דומים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 ביכולתו לירות כדור ולהמית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במהלך המפגש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עובר לשעה </w:t>
      </w:r>
      <w:r>
        <w:rPr>
          <w:rFonts w:cs="David" w:ascii="David" w:hAnsi="David"/>
          <w:sz w:val="24"/>
          <w:szCs w:val="24"/>
        </w:rPr>
        <w:t>21:16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התגלע ויכוח בין הנאשם והמתלונן על רקע חשדו של הנאשם שהמתלונן מתרחק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אלו כשהנאשם במרחק של כמטר מהמתלונן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שלף את הנשק ממותנו הימנית וירה לעבר כף רגלו השמאלית של המתלונן ופגע 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תפס בידו הימנית של הנאשם שבה אחז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 ירה הנאשם בשנית ירייה נוספת שפגעה בידו השמאלית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 בזמן שהנאשם נמצא באזור מגורים במצב היכול לסכן 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ממעשי הנאשם פונה המתלונן למוקד הרפואי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אלנור אלטבי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ומשם הועבר לבית חולים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העמק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בעפולה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אובחנו פצע כניסה ויציאה של קליע בעקב רגל שמאל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פצע כניסה ויציאה של קליע על פני בסיס הגליל המקורב של אגודל יד שמאל עם נפיחות והגבלה בהנעת האגודל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ושבר מרוסק של הגליל המקורב לאגודל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בשל מצבו עבר המתלונן ניתוח בכף ידו השמאלית והיה מאושפז בבית חולים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העמק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ליום </w:t>
      </w:r>
      <w:r>
        <w:rPr>
          <w:rFonts w:cs="David" w:ascii="David" w:hAnsi="David"/>
          <w:sz w:val="24"/>
          <w:szCs w:val="24"/>
        </w:rPr>
        <w:t>21.06.20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בעובדות אלו והורשע בעבירות שלעיל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ראיות וטיעוני הצדדים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מטעם המאשימה הוגש גיליון הרישום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ממנו עולה כי לחובתו שלוש הרשעות בעבירות שונות של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הכוללות החזקה ושימוש בנשק וסכין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גזר הדין האחרון בעניינו של הנאשם ניתן ביום </w:t>
      </w:r>
      <w:r>
        <w:rPr>
          <w:rFonts w:cs="David" w:ascii="David" w:hAnsi="David"/>
        </w:rPr>
        <w:t>13.10.16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שהודה בעבירות של  פציעה בנסיבות מחמירות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334</w:t>
        </w:r>
      </w:hyperlink>
      <w:r>
        <w:rPr>
          <w:rFonts w:cs="David" w:ascii="David" w:hAnsi="David"/>
          <w:rtl w:val="true"/>
        </w:rPr>
        <w:t xml:space="preserve"> +</w:t>
      </w:r>
      <w:hyperlink r:id="rId25"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+ </w:t>
      </w:r>
      <w:hyperlink r:id="rId2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איומים לפי סעיף </w:t>
      </w:r>
      <w:hyperlink r:id="rId28"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אחרון זה הגיע הנאשם להסדר טיעון שכלל גם הסכמה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הוטלו עליו שלוש שנות מאסר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אותן 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ומאסר מותנה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לתקופה של 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לבל יעבור את העבירות בהן הורשע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למעט עבירת האיומים בגינה הוטל מאסר 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). 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611-05-16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המאשימה הגישה את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פרוטוקול הדיון וגזר הדין מיום </w:t>
      </w:r>
      <w:r>
        <w:rPr>
          <w:rFonts w:cs="David" w:ascii="David" w:hAnsi="David"/>
        </w:rPr>
        <w:t>13.10.16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הרישום הפלילי של הנאשם כולל שתי הרשעות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האחת מיום </w:t>
      </w:r>
      <w:r>
        <w:rPr>
          <w:rFonts w:cs="David" w:ascii="David" w:hAnsi="David"/>
        </w:rPr>
        <w:t>13.9.16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החזקת סכין שלא כדין לפי סעיף </w:t>
      </w:r>
      <w:hyperlink r:id="rId31">
        <w:r>
          <w:rPr>
            <w:rStyle w:val="Hyperlink"/>
            <w:rFonts w:cs="David" w:ascii="David" w:hAnsi="David"/>
          </w:rPr>
          <w:t>186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והשניה מבית המשפט לנוער מיום </w:t>
      </w:r>
      <w:r>
        <w:rPr>
          <w:rFonts w:cs="David" w:ascii="David" w:hAnsi="David"/>
        </w:rPr>
        <w:t>14.7.11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היא בעבירות אלימות – אולם עבירות אחרונות 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התיישנו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הגישה המאשימה מסמכים רפואיים של המתלונן המתארים את החבלות שנגרמו לו כתוצאה מהירי של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במ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הנאשם העיד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הייתם אגבאריה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שמסר כי הנאשם הוא בן דודו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כמו אח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וכי הוא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אחלה בן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מגיע לו כל טוב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מסר לגבי היחסים ביניהם 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הכל בסדר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בינינו שום דבר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ולשאלות פרקליטת המאשימה השיב כי אין מצדו צורך בסולחה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קיבל כסף בתמורה לעדותו לטובת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ומבחינת מצבו הרפואי הוא מרגיש טוב והכל בסדר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תמצית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הגישה את עיקר טיעוניה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וחזרה בקצרה על חלק מהם גם בעל פה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ציינה את הערכים החברתיים שנפגעו כתוצאה מהעבירות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ובהם הפגיעה בזכות האדם לשמירה על חייו ובריאותו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זכות ההגנה על הציבור והשמירה על שלטון החוק</w:t>
      </w:r>
      <w:r>
        <w:rPr>
          <w:rFonts w:cs="David" w:ascii="David" w:hAnsi="David"/>
          <w:sz w:val="24"/>
          <w:szCs w:val="24"/>
          <w:rtl w:val="true"/>
        </w:rPr>
        <w:t>.</w:t>
        <w:br/>
      </w:r>
      <w:r>
        <w:rPr>
          <w:rFonts w:ascii="David" w:hAnsi="David" w:cs="David"/>
          <w:sz w:val="24"/>
          <w:sz w:val="24"/>
          <w:szCs w:val="24"/>
          <w:rtl w:val="true"/>
        </w:rPr>
        <w:t>המאשימה עמדה על החומרה בביצוע עבירות הנשק ופוטנציאל הסיכון הגלום בהן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והדגישה את הצורך לשמור על חיי האדם ולמגר את התופעה ההולכת ומתגברת של שימוש בנשק חם במדינה בכלל ובמגזר הערבי בפרט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כשהשימוש בנשק נעשה כדרך לפתרון סכסוכים וגורם לפגיעה באזרחים תמימים אשר נקלעו למקום שלא בטובתם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למדיניות הענישה המחמירה בעבירות הללו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השמה דגש על שיקולי גמול והרתעה ומחייבת הטלת ענישה כבדה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והפנתה לפסיקה התומכת בטענותיה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הנסיבות הקשורות בביצוע העבירות טענה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בקשת הנאשם מהמתלונן להגיע לביתו 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קיבל את פניו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מצויד מראש בנשק חצי אוטומטי טעון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מעידים על התכנון ועל כוונתו של הנאשם להשתמש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ציינה המאשימה את חלקו הבלעדי של הנאשם בביצוע העבירות והבנתו את חומרת מעשיו והשלכותיהם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גם לפגיעה שנגרמה למתלונן כמתואר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והדגישה כי על אף שהפגיעה לא הייתה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משקל לפוטנציאל הנזק שטמון במעשי הנאשם כשהחזיק בנשק 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וכשירה במתלונן ממרחק של כמטר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ויכול היה לגרום לו פגיעה חמורה יותר וקיפוח חיים</w:t>
      </w:r>
      <w:r>
        <w:rPr>
          <w:rFonts w:cs="David" w:ascii="David" w:hAnsi="David"/>
          <w:sz w:val="24"/>
          <w:szCs w:val="24"/>
          <w:rtl w:val="true"/>
        </w:rPr>
        <w:t xml:space="preserve">.   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התייחסה לכלל העבירות בהן הורשע הנאשם כאל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לפסיקה אליה הפנתה עתרה לקביעת מתחם ענישה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תשלום קנס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4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 אחד ציינה המאשימה את הודאתו של הנאשם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 הדגישה את עברו הפלילי הכולל הרשעה בעבירות אלימות ונשק אשר בגינן תלוי כנגדו מאסר מותנה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כשלטענתה בנסיבות העניין יש לתת ביטוי הולם לשיקולי הגמול והרתעת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היחיד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כמו גם הרתעת 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להטיל על הנאשם עונש של מאסר בפועל ברף הבינוני גבוה של המתחם המבוקש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משמעותי למתלונן ותשלום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להפעיל את עונש המאסר המותנה התלוי ועומד כנגד הנאשם במצטבר לכל ענישה שתיקבע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תמצית טיעוני ההגנה לעונש ודבר 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אף הוא טיעונים בכתב והוסיף והשלים טיעונים בעל פה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טיעוני המאשימה מחמירים ורלוונטיים לעבירה שיוחסה לנאשם לפני תיקון כתב האישום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 </w:t>
        </w:r>
        <w:r>
          <w:rPr>
            <w:rStyle w:val="Hyperlink"/>
            <w:rFonts w:cs="David" w:ascii="David" w:hAnsi="David"/>
            <w:sz w:val="24"/>
            <w:szCs w:val="24"/>
          </w:rPr>
          <w:t>329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 לעבירה בה הורשע בפועל לפי סעיפים </w:t>
      </w:r>
      <w:hyperlink r:id="rId33">
        <w:r>
          <w:rPr>
            <w:rStyle w:val="Hyperlink"/>
            <w:rFonts w:cs="David" w:ascii="David" w:hAnsi="David"/>
            <w:sz w:val="24"/>
            <w:szCs w:val="24"/>
          </w:rPr>
          <w:t>333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34">
        <w:r>
          <w:rPr>
            <w:rStyle w:val="Hyperlink"/>
            <w:rFonts w:cs="David" w:ascii="David" w:hAnsi="David"/>
            <w:sz w:val="24"/>
            <w:szCs w:val="24"/>
          </w:rPr>
          <w:t>335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הפסיקה אליה הפנתה המאשימה העוסקת בעבירות ובנסיבות חמורות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לפסיקה מטעמו שלטענתו עוסקת במקרים דומים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 כי מדיניות הענישה בעבירות בהן הורשע הנאשם משתנה בהתאם לנסיבות כל מקרה לגופו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ומבלי להקל מחומרת העבירות הרי שבפסיקה ישנם מקרים דומים ואף חמורים יותר בהם הסתפק בית המשפט בענישה מקלה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הוסיף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המעשים בהם הודה הנאשם אינם במדרג הגבוה של החומרה והם מצויים ברף הנמוך של עבירות הנשק – כך שהנאשם פעל בלהט הרגע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השתמש בנשק חצי אוטומטי ולא נשק ארוך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ולא נגרמו למתלונן פגיעות קשות אלא פציעות קלות וחולפות כעולה מהמסמכים הרפואיים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בנסיבות אלו ביקש לקבוע מתחם הנע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בצירוף מאסר מותנה ארוך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לשיקולים הפועלים לטובת הנאשם ובהם הודאתו בכתב האישום המתוקן והחיסכון בזמן השיפוטי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קבלת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הבנתו את חומרתם והחרטה עליהם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הודגשו נסיבות חייו האישיות והמיוחדות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אדם נורמטיבי ובן למשפחה נורמטיבית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שהייתו במעצר במשך תקופה ארוכה במהלכה לא היה לו קשר עם משפחתו בשל מצב החירום והקורונה ששררו במדינה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הסניגור את מצבו הנפשי הקשה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לאור העובדה שבתקופת מעצרו נרצחו שלושה מאחיו ועוד שלושה מקרובי משפחתו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שהאחרון בהם נרצח ביום בו נשמעו הטיעונים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ובשל הנסיבות לא התאפשר לנאשם להיפרד מהם ולחוות את האובדן עם משפחתו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הוסיף כי הנאשם פועל כיום בסיוע משפחתו לשיקום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עונש של מאסר ארוך מאחורי סורג ובריח יפגע בסיכויי שיקומו ויביא להתדרדרות במצבו ובאפשרויות השיקומיות העומדות בפניו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בקרבת המשפחה בין הנאשם למתלונן והיחסים הטובים ביניהם כיום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לפעול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3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ולסטות ממתחם הענישה מטעמי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משיקולי צדק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מטעמי חסד ורחמים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ולהימנע מענישה בדמות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לחילופין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להטיל על הנאשם מאסר בפועל לא ארוך הנמצא בגדר המתחם המבוקש לצד מאסר מותנה ממושך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בסיום דבריו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שהמאסר המותנה שהוטל על הנאשם בגין הרשעתו בעבר אינו בר הפעלה שכן יש לחשבו ממועד בו ניתן גזר הדין ולא מעת שחרורו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אם יסתבר שהמאסר המותנה עומד בתוקפו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הסניגור להתחשב בנסיבותיו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ולהפעילו בחופף לעונש המאסר שייגזר עליו או בהצטברות מינימלית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הסניגור הפנה למצבה הכלכלי הקשה של משפחת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להימנע מהטלת קנס ופיצוי למתלונן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ולחלופין פיצוי בסכום סמלי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בדברו האחרון מסר הנאשם שהוא מקווה שיהיה 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מבקש לחזור למשפחתו וסיכם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נקווה שישתנה לטוב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דיון ומסקנות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מחלוקת שכלל העבירות שביצע הנאשם מהוות אירוע אחד שבגינו ייקבע מתחם עונש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ובהתאם </w:t>
      </w:r>
      <w:hyperlink r:id="rId37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ייקבע המתחם ההולם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הקשורות בביצוען ומדיניות הענישה הנוהגת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במעשיו פגע הנאשם במידה רבה בזכותו של המתלונן לכבוד ולשלמות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בזכותו לביטחון אישי ושלוות 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בעיקרון הבסיסי של שמירה על ערך החיים ועל שלום הציבור וביטחונו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התנהלותו של הנאשם חמורה במיוחד משום שהוא התנהג כלפי המתלונן בקור רוח וגילה אדישות מוחלטת לתוצאות האפשריות של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ולמרות קרבת המשפחה ויחסי החברות ביניהם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לא היסס לשלוף את נשקו ולירות במתלונן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מטווח קרוב מאד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פעמיים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והכל רק משום שסבר שהמתלונן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מתרחק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ממנו ואינו שומר על קשר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המתואר בכתב האישום המתוקן מקשה על הגדרת האירוע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ספונטני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שכן הנאשם יזם את הגעת המתלונן לביתו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הצטייד מראש בנשק חם וטעון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וכשהתפתח ביניהם וויכוח מילולי הוא לא היסס לשלוף את נשקו ולירות במתלונן מטווח קצר מאד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ירייה שפגעה בכף רגלו השמאלית של האחרון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חדל ממעשיו גם לאחר הפגיעה במתלונן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ומשזה תפס בידו של הנאשם שאחזה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ירה הנאשם בשנית ופגע שוב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הפעם בכף ידו השמאלית של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התנהלות זו לצד המניע שבמעשי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אותו חשד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להתרחקות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המתלונן וצמצום הקשר ביניהם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מצביעים יותר על רצונו של הנאשם לפגוע במתלונן ולא על פרץ כעס רגעי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חומרה נוספת טמונה בעצם נשיאת נשק חם וטעון 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הנאשם ללא שיש בידו היתר כדין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השימוש שעשה בו המגלם פוטנציאל גבוה לגרימת נזק ניכר ומוחשי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בעיקר כלפי המתלונן שנורה ממרחק קרוב ויכול היה להיפגע בצורה חמורה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לא רק כלפיו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כיון שהירי בוצע באזור מגורים טמונה בו סכנה גם לאחרים המתגוררים או עוברים בקרבת 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שהיו עלולים להיפגע בשוגג רק בשל היותם בסביבה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והמציאות מלמדת שלא אחת כבר אירעו מקרים כאלו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אחריות הנאשם על מעשיו הייתה בלעדית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הבין היטב את פעולותיו ויכול היה לחדול מהן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הוא התעלם מהפגיעות שגרם למתלונן ובחר להמשיך לפגוע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ספק כי מעשי הנאשם גרמו למתלונן פגיעה גופנית לא פשוטה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כמתואר בכתב האישום המתוקן וכעולה מהתיעוד הרפואי שהוגש בעניינו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67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68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במ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כשבעקבות הירי נזקק המתלונן לניתוח בכף ידו ולאשפוז של כשבוע ימים בבית החולים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תיאור השתלשלות מעשי הנאשם והנזקים שגרם למתלונן מלמדים על פגיעה משמעותית בערכים החברתיים המוגנים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hanging="644" w:start="646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מדיניות הענישה הנוהגת בעבירות אלו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64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ספור פעמים עמד בית המשפט על החומרה הרבה הטמונה בעבירות אלימות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ובעבירות בהן מעורב נשק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שנקבעה היא מחמירה ושמה דגש על היבטי ההרתעה והגמול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כשעבירות האלימות והנשק מבוצעות כאמצעי לפתרון סכסוכים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46" w:end="0"/>
        <w:jc w:val="both"/>
        <w:rPr/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מוסא גדבאן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02.12.14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start="646" w:end="0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לנוכח חומרת העבירות מסוג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ההשלכות הרות האסון ופוטנציאל הסכנה הגלום לשלמות החיים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הגוף והנפש ולביטחון הציבור ופוטנציאל הפגיעה הגלום בהם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קבע פעם אחר פעם כי יש לשדר מסר עונשי אשר ירתיע מפני ביצוע עבירות אלו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וזאת בדרך של נקיטה בענישה מחמירה אשר תרחיק את מבצע העבירה מן החברה לתקופת מאסר ממשית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עוד נקבע כי הדרישה להחמרה בעבירות אלה מועצמת כאשר עסקינן בנשק חם שרק צד אחד מחזיק בו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חומרתן של החזקת ונשיאת נשק ללא היתר כדין אינה תחומה אך לעבירות עצמן ולהיותן מנוגדות לחוק החרות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אלה מובילות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ולמצער רב החשש שיובילו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לעבירות נוספות של שימוש בנשק תוך פגיעה בזולת</w:t>
      </w:r>
      <w:r>
        <w:rPr>
          <w:rFonts w:cs="David" w:ascii="David" w:hAnsi="David"/>
          <w:b/>
          <w:bCs/>
          <w:sz w:val="24"/>
          <w:szCs w:val="24"/>
          <w:rtl w:val="true"/>
        </w:rPr>
        <w:t>..." 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8381/17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טל איכילוב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24.04.18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נאמר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הפסיקה הדגישה לא אחת את החומרה הטמונה בנקיטת אלימות לצורך פתרון 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תוך עשיית דין עצמי והתעלמות מהוראות החוק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6557/17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יהודה אוחיון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>, 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10.1.2018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התנהגות אלימה זו מובילה פעמים רבות לפגיעה בגוף ובנפש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עלולה לגרום לאובדן 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ומשכך מסכנת את שלום הציבור וביטחונו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מדיניות הענישה לשקף חומרה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שמא עבריינים ימשיכו לעשות דין לעצמם ולנקוט באלימות כמענה לפתרון סכסוכיהם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באופן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העונש שנגזר לבטא את הסלידה שיש ממעשי אלימות ואכזריות כמתואר בכתב האישום שבפנינו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05.11.19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חזר בית המשפט העליון על מדיניות הענישה המחמירה בה יש לנקוט כלפי מי שעושה שימוש בנשק חם כדרך ליישוב סכסוכים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בשנים האחרונות אף חלה עליה מתמדת במספר אירועי הירי המדווחים למשטרה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להגעתו של נשק זה לגורמים עויינים ובכללם גורמי טרור</w:t>
      </w:r>
      <w:r>
        <w:rPr>
          <w:rFonts w:cs="David" w:ascii="David" w:hAnsi="David"/>
          <w:b/>
          <w:bCs/>
          <w:sz w:val="24"/>
          <w:szCs w:val="24"/>
          <w:rtl w:val="true"/>
        </w:rPr>
        <w:t>."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עמוד</w:t>
      </w:r>
      <w:r>
        <w:rPr>
          <w:rFonts w:ascii="David" w:hAnsi="David" w:cs="David"/>
          <w:sz w:val="24"/>
          <w:sz w:val="24"/>
          <w:szCs w:val="24"/>
          <w:rtl w:val="true"/>
        </w:rPr>
        <w:t>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לפסק הדין</w:t>
      </w:r>
      <w:r>
        <w:rPr>
          <w:rFonts w:cs="David" w:ascii="David" w:hAnsi="David"/>
          <w:sz w:val="24"/>
          <w:szCs w:val="24"/>
          <w:rtl w:val="true"/>
        </w:rPr>
        <w:t>)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6989/13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25.2.14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עם זאת אציין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שלמרות מגמת ההחמרה הקיימת בעבירות הללו על רקע האלימות הגוברת והשימוש התדיר בנשק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למצוא בהקשר זה ענישה מגוונת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המשתנה בהתאם לנסיבותיו של כל מקרה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ישנה חשיבות למספר היריות שנורו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למספר הנפגעים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לאופי וחומרת הפגיעות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סוג הנשק בו נעשה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הנזק הסביבתי וגורמים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כדי ללמוד על מדיניות הענישה הציגו בפני הצדדים פסיקה התומכת בטיעוניהם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מרבית הפסיקה אליה הפנתה המאשימה עוסקת בעבירות נשק לצד עבירה של חבלה בכוונה מחמירה לפי </w:t>
      </w:r>
      <w:hyperlink r:id="rId4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329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שהעונש בגינה חמור יותר מהעונש בגין עבירה של חבלה חמורה בנסיבות מחמירות לפי </w:t>
      </w:r>
      <w:hyperlink r:id="rId4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333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+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46">
        <w:r>
          <w:rPr>
            <w:rStyle w:val="Hyperlink"/>
            <w:rFonts w:cs="David" w:ascii="David" w:hAnsi="David"/>
            <w:sz w:val="24"/>
            <w:szCs w:val="24"/>
          </w:rPr>
          <w:t>335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בהם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הגם שבחלק מאותם מקרים קיים דמיון מסוים בנסיבות ביצוע העבירות למעשי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6359/18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11.04.19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9104/20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דוד טבצ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ניקוב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04.03.21</w:t>
      </w:r>
      <w:r>
        <w:rPr>
          <w:rFonts w:cs="David" w:ascii="David" w:hAnsi="David"/>
          <w:sz w:val="24"/>
          <w:szCs w:val="24"/>
          <w:rtl w:val="true"/>
        </w:rPr>
        <w:t xml:space="preserve">)). 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רוב המקרים אליהם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עוסקים בעבירות שונות בנשק שלחלקן נלוו עבירות של 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בפסיקה שהציג לא נכללה הרשעה גם בעבירה של חבלה חמורה בנסיבות מחמירות שיש בה נופך משמעותי של 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הנסיבות באותם מקרים שונות מאלו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משום שמדובר בעבירות קלות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נסיבות קלות יותר כמו ירי באוויר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ירי ללא גרימת פגיעה גופנית למתלוננים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ובין משום שחלק מהמקרים הם לפני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וחלקם כלל הסכמות לעניין העונש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>ראו לדוגמה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1357/12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דבאח סאלח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07.03.13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42697-05-18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בוקאעי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01.11.18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34526-06-18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28.11.11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4460/11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פאיד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28.11.11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ותפ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18300-11-18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נאשף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07.05.19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למרות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מהפסיקה אליה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ניכרת החמרה בענישה שהוטלה על מבצעי 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במקרים בהם לא הי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תה הרשעה בעבירות נוספות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אסקור מספר מקרים רלוונטיים אשר עוסקים בעבירות או נסיבות דומות לאלו שבהן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עשויים לסייע בקביעת מתחם העונש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4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1244/15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עאמר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18.04.16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מדובר בנסיבות חמורות פחות מאלו  שבענייננו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המערער והמתלונן שכנים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ביניהם סכסוך לגבי שימוש בספסל בטון הנמצא סמוך לבית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ניסה למנוע מהמערער את השימוש בספסל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ובתגובה  ירה הנאשם מספר כדורים לעבר דלת הרכב בו ישבו המתלונן 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איש מהם לא נפגע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ניסיון לחבלה חמורה בנסיבות מחמירות ועבירה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שנע בין </w:t>
      </w:r>
      <w:r>
        <w:rPr>
          <w:rFonts w:cs="David" w:ascii="David" w:hAnsi="David"/>
        </w:rPr>
        <w:t>3-6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נערכה סולחה בין הצדדים ושירות המבחן המליץ על הטלת צו מבחן ומאסר שירוצה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המערער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העליון קיבל את הערעור על חומרת העונש והפחית מהעונש והעמידו על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44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35364-01-18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מאלק אבו חוסין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31.01.19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חבלה חמורה בנסיבות מחמירות ונשיאת נשק והובלתו שלא כדין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בעקבות סכסוך כספי בין המתלונן ואחיו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אל המתלונן ביחד עם 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אחיו של הנאשם תקף את המתלונן במקל ובזמן שהמתלונן נאבק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יצא מרכבו וירה מספר קליעים לעבר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פגע בו בירך וגרם לו לחתך מדמם בקרקפת ופצע מדמם באיבר המין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חייבו את אשפוזו של המתלונן בבית 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הנע בין </w:t>
      </w:r>
      <w:r>
        <w:rPr>
          <w:rFonts w:cs="David" w:ascii="David" w:hAnsi="David"/>
          <w:sz w:val="24"/>
          <w:szCs w:val="24"/>
        </w:rPr>
        <w:t>3.5-6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והטיל על הנאשם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הגיש ערעור לבית המשפט העליון אשר נמחק לבקשתו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1971/19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69905-11-17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נעים עמאש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04.02.19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על פי הוד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 בעבירות של חבלה חמורה בנסיבות מחמירות ועבירות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שירה לכיוון אדם אחר על רקע עימות ביניהם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במקום הירי שהו באותה עת המתלונן ואנשים נוספים שיצאו מחתונה שהסתיימה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אחד הכדורים פגע בידו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ללא עבר פלילי והוגש הסכם סולחה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ענישה הנע בין </w:t>
      </w:r>
      <w:r>
        <w:rPr>
          <w:rFonts w:cs="David" w:ascii="David" w:hAnsi="David"/>
          <w:sz w:val="24"/>
          <w:szCs w:val="24"/>
        </w:rPr>
        <w:t>4-6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וגזר על הנאשם 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>הנאשם חזר בו מהערעור בעליון ב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1843/19</w:t>
        </w:r>
      </w:hyperlink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22030-04-19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סלח בן יעקב אבו סאלימן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02.07.20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בעבירות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ותחמושת והחזקת סכין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נסע עם אחרים נוספים ברכב למקום בו נמצא המתלונן יחד עם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הם קראו למתלונן לצאת מהרכב והנאשם ירה לעברו באמצעות נשק כשהוא עומד במרחק של כמטר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כדור אחד פגע בירך השמאלית של המתלונן ויצא מהצד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וכדור נוסף פצע את המתלונן באזור הברך הימנית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הנע בין 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7.5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עבר פלילי ונערכה סולחה ועל הנאשם נגזרו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טרם הסתיים עניינם של נאשמים נוספים בהליך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4119/14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הנבוזי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21.09.14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על פי הודאתו בעבירות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והובלת נשק וירי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הרקע לירי הוא סכסוך בין משפחת המערער למשפחה אחרת וסכסוך אישי בין המערער לאחד מבני המשפחה היריבה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לאחר תיאום נפגשו המערער ודודו עם שניים מהמשפחה האחרת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ובמהלך הפגישה התפתח ביניהם דין ודברים והמערער שלף נשק בו החזיק והתחיל לרוץ עמו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וכאשר בני המשפחה האחרת רצו אחריו ירה המערער מספר יריות באוויר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 המערער למקום אחר אליו הגיעו עוד שלושה ברכב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שניים מהם מהמשפחה היריבה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השלושה יצאו מהרכב והתקרבו למערער ואחד מהם החזיק בידו חפץ הנחזה כנשק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אלו ירה שוב הנאשם מספר יריות לעבר שניים מהם שעמדו במרחק של כמה מטרים ממנו ואחד נפגע ברגלו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קליע נוסף שירה המערער פגע בשני אנשים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היו קשורים לאירוע ואשר שהו בביתם שהיה בקרבת המקום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היה כבן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ובמקביל לתיק זה נגזר דינו בתיק נוסף שהתנהל בבית המשפט לנוער על עבירה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שבגינה נדון 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sz w:val="24"/>
          <w:szCs w:val="24"/>
        </w:rPr>
        <w:t>2-5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המערער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שדחה את בקשה המאשימה להפעיל במצטבר את העונש שהוטל בבית המשפט לנוער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העונש בית המשפט התחשב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בנסיבות הבאות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הירי נעשה כתוצאה מאיום ופחד שחש המערער על חייו מהאחרים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ונסיבותיו האישיות והמשפחתיות של המערער שאחיו נרצח במסגרת הסכסוך בין המשפחות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ערעור המערער על חומרת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התלבטות דחה גם את ערעור המדינה על קולת העונש תוך שקבע כי אין להתעלם מהרקע ומהאירועים הקודמים שהתרחשו במסגרת הסכסוך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</w:t>
      </w:r>
      <w:r>
        <w:rPr>
          <w:rFonts w:cs="David" w:ascii="David" w:hAnsi="David"/>
          <w:b/>
          <w:bCs/>
          <w:sz w:val="24"/>
          <w:szCs w:val="24"/>
          <w:rtl w:val="true"/>
        </w:rPr>
        <w:t>"...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אם העונש נוטה לקולה אין מקום להתערב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משום שאין מדובר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 המיוחדות של המקרה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בסטייה קיצונית מרמת הענישה הראויה במקרים דומים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בעמוד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05.11.19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בשלושה משיבים שהורשעו על פי הודאתם בביצוע עבירות אלימות ונשק על רקע סכסוך 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היו שני אירועי ירי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האירוע הראשון בו היו מעורבים המשיבים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התרחש כשהם נסעו ברכב וירו מספר פעמים לעבר אדם מהמשפחה היריבה שהיה ליד 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התרחקו בנסיעה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אולם שבו על עקבותיהם וירו שוב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פעם באוויר ופעם לעברו של אותו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שהפעם נפגע  בבטנו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בגין מעשים אלה הורשעו בעבירה של חבלה חמורה בנסיבות מחמירות ונשיאת והובלת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בעקבות אותו 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החליט המשיב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לירות אף הוא בבן משפחה יריבה ופגע בירכו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והוסיף וירה לעבר שניים אחרים אך לא פגע בהם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מעשיו הורשע משיב זה באותן עבירות בהן הורשעו המשיבים </w:t>
      </w:r>
      <w:r>
        <w:rPr>
          <w:rFonts w:cs="David" w:ascii="David" w:hAnsi="David"/>
          <w:sz w:val="24"/>
          <w:szCs w:val="24"/>
        </w:rPr>
        <w:t>1-2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נוספת של ירי מנשק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בכל הנוגע לעניינם של המשיבים 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קבע בית המשפט המחוזי מתחם שנע  </w:t>
      </w:r>
      <w:r>
        <w:rPr>
          <w:rFonts w:cs="David" w:ascii="David" w:hAnsi="David"/>
          <w:sz w:val="24"/>
          <w:szCs w:val="24"/>
        </w:rPr>
        <w:t>3.5</w:t>
      </w:r>
      <w:r>
        <w:rPr>
          <w:rFonts w:cs="David" w:ascii="David" w:hAnsi="David"/>
          <w:sz w:val="24"/>
          <w:szCs w:val="24"/>
          <w:rtl w:val="true"/>
        </w:rPr>
        <w:t xml:space="preserve"> 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ולמשיב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cs="David" w:ascii="David" w:hAnsi="David"/>
          <w:sz w:val="24"/>
          <w:szCs w:val="24"/>
        </w:rPr>
        <w:t>2-4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שצוין כי ניתן משקל למספר מקרי הירי באירוע הראשון לעומת האירוע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לסולחה שנערכה בין הצדדים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המשיב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נעדר עבר פלילי נגזר עונש של </w:t>
      </w:r>
      <w:r>
        <w:rPr>
          <w:rFonts w:cs="David" w:ascii="David" w:hAnsi="David"/>
          <w:sz w:val="24"/>
          <w:szCs w:val="24"/>
        </w:rPr>
        <w:t>3.5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בעבירות סמים נגזרו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המשיב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בעבירות אלימות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שבוצעו בהיותו קטין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נגזרו שנתיים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ערעור המשיבים על חומרת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וקיבל את ערעור המדינה על קולתו והחמיר בעונשים כך שהמשיב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והמשיב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</w:rPr>
        <w:t>3.5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תוך שציין כי יש להחמיר בענישה ולתת לסולחה שנערכה בין הצדדים משקל מוגבל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17304-12-17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מרכז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מוסה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30.05.19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הנאשם על יסוד הודאתו בהסדר טיעון בעבירה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פציעה בנסיבות מחמירות ונשיאת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ההסדר עתרה המאשימה להטיל על הנאשם עונש מאסר של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בין הנאשם ובין מספר אנשים ממשפחתו התפתח דין ודברים בעקבותיו עזב הנאשם את המקום והלך לביתו שנמצא בסמוך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נטל כלי נשק וירה לכל עבר ולעבר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אנשים ממשפחתו ופגע בשניים מהם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נפגע בבטן והשני בצוואר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הנע בין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ועד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בפועל והטיל על הנאשם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בהמלצת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 בו הנאשם מערעור שהגיש על חומרת העונש ב</w:t>
      </w:r>
      <w:hyperlink r:id="rId6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4761/19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לנסיבות ביצוע העבירות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ומידת הפגיעה 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 ואופי 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הנוהגת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מקבלת את עתירת המאשימה וקובעת כי מתחם הענישה ההולם בנסיבות העניין נע בין 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מצאתי כי נסיבות העניין מצדיקות חריגה מהמתחם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העונש הראוי לנאשם</w:t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בתוך המתחם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6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העבירות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לנאשם עבר פלילי עוד מהיותו נער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ואך כארבע שנים קודם לאירוע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נדון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בית המשפט המחוזי לשלוש שנות מאסר בפועל בגין עבירות דומות מאד ובין היתר 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והוטל עליו גם מאסר על תנאי ממושך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לא חלף אלא זמן קצר מאז גזר הדין ומעת שחרורו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וכבר היה מעורב שוב בנשיאת נשק ובירי לעבר חברו ובפציעתו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שככל הנראה לא המאסר בפועל ולא המאסר המותנה הרתיעו אותו מלשוב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פועל לחובתו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אציין בקצרה כי בהתאם לגזר הדין במ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המאסר המותנה חל מעת שחרורו של הנאשם ולא כפי שטען הסניגור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הבאתי בחשבון את הודיית הנאשם ולקיחת האחריות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ההודיה ניתנה בשלב מאוחר בהליך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שמיעת עדי תביעה 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המתלונן וכל בני משפחתו הקרובים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שנפרשה לפני כמעט מלוא מסכת הראיות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בדבריו גם לא הביע חרטה של ממש על מעשיו ועל הפציעה שגרם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עם זאת ולזכותו של הנאשם אזקוף את דברי המתלונן על כך שנזקו לא היה חמור מאד והוא החלים מתוצאות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וכיום הוא רוצה בטובתו של הנאשם כיון שהיחסים ביניהם טובים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אתעלם  גם מנסיבותיו המשפחתיות וממצבו האישי הלא פשוט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שלושה מאחיו נרצחו בעת היותו במעצר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ואין ספק שהדבר פגע בו ובמשפחתו בצורה קשה וגרם להם סבל ניכר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644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כל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במכלול הנסיבות והנתונים שציינתי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  <w:t xml:space="preserve">  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תקופת המאסר תחושב מיום מעצרו של הנאשם </w:t>
      </w:r>
      <w:r>
        <w:rPr>
          <w:rFonts w:cs="David" w:ascii="David" w:hAnsi="David"/>
          <w:sz w:val="24"/>
          <w:szCs w:val="24"/>
        </w:rPr>
        <w:t>14.6.20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מפעילה את עונש המאסר המותנה שהוטל על הנאשם ב</w:t>
      </w:r>
      <w:hyperlink r:id="rId6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611-05-16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 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ירוצו במצטבר לעונש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בחופף לו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firstLine="76"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 </w:t>
      </w:r>
      <w:r>
        <w:rPr>
          <w:rFonts w:ascii="David" w:hAnsi="David" w:cs="David"/>
          <w:sz w:val="24"/>
          <w:sz w:val="24"/>
          <w:szCs w:val="24"/>
          <w:rtl w:val="true"/>
        </w:rPr>
        <w:t>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ירצה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והתנאי הוא שהנאשם לא יעבור  כל עבירת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   </w:t>
      </w:r>
      <w:r>
        <w:rPr>
          <w:rFonts w:ascii="David" w:hAnsi="David" w:cs="David"/>
          <w:sz w:val="24"/>
          <w:sz w:val="24"/>
          <w:szCs w:val="24"/>
          <w:rtl w:val="true"/>
        </w:rPr>
        <w:t>נשק או אלימות מסוג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והתנאי הוא שהנאשם לא יעבור כל עבירת </w:t>
      </w:r>
    </w:p>
    <w:p>
      <w:pPr>
        <w:pStyle w:val="ListParagraph"/>
        <w:spacing w:lineRule="auto" w:line="360"/>
        <w:ind w:start="644"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    </w:t>
      </w:r>
      <w:r>
        <w:rPr>
          <w:rFonts w:ascii="David" w:hAnsi="David" w:cs="David"/>
          <w:sz w:val="24"/>
          <w:sz w:val="24"/>
          <w:szCs w:val="24"/>
          <w:rtl w:val="true"/>
        </w:rPr>
        <w:t>נשק או אלימות מסוג עוון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  ולאור עמדת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 אפסוק לו פיצוי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יום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 כסלו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גלית ציגלר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3429-07-20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קיס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29" TargetMode="External"/><Relationship Id="rId11" Type="http://schemas.openxmlformats.org/officeDocument/2006/relationships/hyperlink" Target="http://www.nevo.co.il/law/70301/329.a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40.a.b.2" TargetMode="External"/><Relationship Id="rId16" Type="http://schemas.openxmlformats.org/officeDocument/2006/relationships/hyperlink" Target="http://www.nevo.co.il/law/70301/340a.b.1.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c" TargetMode="External"/><Relationship Id="rId23" Type="http://schemas.openxmlformats.org/officeDocument/2006/relationships/hyperlink" Target="http://www.nevo.co.il/law/70301/340a.b.1.;340.a.b.2" TargetMode="External"/><Relationship Id="rId24" Type="http://schemas.openxmlformats.org/officeDocument/2006/relationships/hyperlink" Target="http://www.nevo.co.il/law/70301/334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1894895" TargetMode="External"/><Relationship Id="rId31" Type="http://schemas.openxmlformats.org/officeDocument/2006/relationships/hyperlink" Target="http://www.nevo.co.il/law/70301/186.a" TargetMode="External"/><Relationship Id="rId32" Type="http://schemas.openxmlformats.org/officeDocument/2006/relationships/hyperlink" Target="http://www.nevo.co.il/law/70301/329" TargetMode="External"/><Relationship Id="rId33" Type="http://schemas.openxmlformats.org/officeDocument/2006/relationships/hyperlink" Target="http://www.nevo.co.il/law/70301/333" TargetMode="External"/><Relationship Id="rId34" Type="http://schemas.openxmlformats.org/officeDocument/2006/relationships/hyperlink" Target="http://www.nevo.co.il/law/70301/335.a.1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7948201" TargetMode="External"/><Relationship Id="rId40" Type="http://schemas.openxmlformats.org/officeDocument/2006/relationships/hyperlink" Target="http://www.nevo.co.il/case/23833066" TargetMode="External"/><Relationship Id="rId41" Type="http://schemas.openxmlformats.org/officeDocument/2006/relationships/hyperlink" Target="http://www.nevo.co.il/case/22932896" TargetMode="External"/><Relationship Id="rId42" Type="http://schemas.openxmlformats.org/officeDocument/2006/relationships/hyperlink" Target="http://www.nevo.co.il/case/25824863" TargetMode="External"/><Relationship Id="rId43" Type="http://schemas.openxmlformats.org/officeDocument/2006/relationships/hyperlink" Target="http://www.nevo.co.il/case/8291683" TargetMode="External"/><Relationship Id="rId44" Type="http://schemas.openxmlformats.org/officeDocument/2006/relationships/hyperlink" Target="http://www.nevo.co.il/law/70301/329.a" TargetMode="External"/><Relationship Id="rId45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law/70301/335.a.1" TargetMode="External"/><Relationship Id="rId47" Type="http://schemas.openxmlformats.org/officeDocument/2006/relationships/hyperlink" Target="http://www.nevo.co.il/case/24966889" TargetMode="External"/><Relationship Id="rId48" Type="http://schemas.openxmlformats.org/officeDocument/2006/relationships/hyperlink" Target="http://www.nevo.co.il/case/27272576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575978" TargetMode="External"/><Relationship Id="rId51" Type="http://schemas.openxmlformats.org/officeDocument/2006/relationships/hyperlink" Target="http://www.nevo.co.il/case/5958231" TargetMode="External"/><Relationship Id="rId52" Type="http://schemas.openxmlformats.org/officeDocument/2006/relationships/hyperlink" Target="http://www.nevo.co.il/case/25127246" TargetMode="External"/><Relationship Id="rId53" Type="http://schemas.openxmlformats.org/officeDocument/2006/relationships/hyperlink" Target="http://www.nevo.co.il/case/20033653" TargetMode="External"/><Relationship Id="rId54" Type="http://schemas.openxmlformats.org/officeDocument/2006/relationships/hyperlink" Target="http://www.nevo.co.il/case/23551091" TargetMode="External"/><Relationship Id="rId55" Type="http://schemas.openxmlformats.org/officeDocument/2006/relationships/hyperlink" Target="http://www.nevo.co.il/case/25546727" TargetMode="External"/><Relationship Id="rId56" Type="http://schemas.openxmlformats.org/officeDocument/2006/relationships/hyperlink" Target="http://www.nevo.co.il/case/23300124" TargetMode="External"/><Relationship Id="rId57" Type="http://schemas.openxmlformats.org/officeDocument/2006/relationships/hyperlink" Target="http://www.nevo.co.il/case/25528733" TargetMode="External"/><Relationship Id="rId58" Type="http://schemas.openxmlformats.org/officeDocument/2006/relationships/hyperlink" Target="http://www.nevo.co.il/case/16987369" TargetMode="External"/><Relationship Id="rId59" Type="http://schemas.openxmlformats.org/officeDocument/2006/relationships/hyperlink" Target="http://www.nevo.co.il/case/25824863" TargetMode="External"/><Relationship Id="rId60" Type="http://schemas.openxmlformats.org/officeDocument/2006/relationships/hyperlink" Target="http://www.nevo.co.il/case/23386870" TargetMode="External"/><Relationship Id="rId61" Type="http://schemas.openxmlformats.org/officeDocument/2006/relationships/hyperlink" Target="http://www.nevo.co.il/case/25860719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1894895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2022-11-20T12:23:00Z</dcterms:created>
  <dc:creator> </dc:creator>
  <dc:description/>
  <cp:keywords/>
  <dc:language>en-IL</dc:language>
  <cp:lastModifiedBy>h1</cp:lastModifiedBy>
  <dcterms:modified xsi:type="dcterms:W3CDTF">2022-11-20T12:23:00Z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קיס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21894895:2;17948201;23833066;22932896;25824863:2;8291683;24966889;27272576;5575978;5958231;25127246;20033653;23551091;25546727;23300124;25528733;16987369;23386870;25860719</vt:lpwstr>
  </property>
  <property fmtid="{D5CDD505-2E9C-101B-9397-08002B2CF9AE}" pid="9" name="CITY">
    <vt:lpwstr>חי'</vt:lpwstr>
  </property>
  <property fmtid="{D5CDD505-2E9C-101B-9397-08002B2CF9AE}" pid="10" name="DATE">
    <vt:lpwstr>20211121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גלית ציגלר</vt:lpwstr>
  </property>
  <property fmtid="{D5CDD505-2E9C-101B-9397-08002B2CF9AE}" pid="14" name="LAWLISTTMP1">
    <vt:lpwstr>70301/333:3;335.a.1:4;144.b:2;144.c;340a.b.1;340.a.b.2;334;144.a;192;186.a;329;040d;040i;329.a;40ja</vt:lpwstr>
  </property>
  <property fmtid="{D5CDD505-2E9C-101B-9397-08002B2CF9AE}" pid="15" name="LAWYER">
    <vt:lpwstr>סיוון קוסטר;יוסף סלימאן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3429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390020211121</vt:lpwstr>
  </property>
  <property fmtid="{D5CDD505-2E9C-101B-9397-08002B2CF9AE}" pid="34" name="TYPE_N_DATE">
    <vt:lpwstr>39020211121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