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34514-06-14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מוחמד פאח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ורי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יעל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הובא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סרי חורי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Calibri" w:hAnsi="Calibri" w:eastAsia="Times New Roman" w:cs="Calibri"/>
          <w:sz w:val="6"/>
          <w:szCs w:val="6"/>
        </w:rPr>
      </w:pPr>
      <w:r>
        <w:rPr>
          <w:rFonts w:eastAsia="Times New Roman" w:cs="Calibri" w:ascii="Calibri" w:hAnsi="Calibri"/>
          <w:sz w:val="6"/>
          <w:szCs w:val="6"/>
          <w:rtl w:val="true"/>
        </w:rPr>
        <w:t>&lt;</w:t>
      </w:r>
      <w:r>
        <w:rPr>
          <w:rFonts w:eastAsia="Times New Roman" w:cs="Calibri" w:ascii="Calibri" w:hAnsi="Calibri"/>
          <w:sz w:val="6"/>
          <w:szCs w:val="6"/>
        </w:rPr>
        <w:t>#3#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6"/>
          <w:szCs w:val="6"/>
        </w:rPr>
      </w:pPr>
      <w:r>
        <w:rPr>
          <w:rFonts w:eastAsia="Times New Roman"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Times New Roman" w:cs="FrankRuehl"/>
          <w:rtl w:val="true"/>
        </w:rPr>
        <w:t>חקיקה</w:t>
      </w:r>
      <w:r>
        <w:rPr>
          <w:rFonts w:ascii="FrankRuehl" w:hAnsi="FrankRuehl" w:eastAsia="Times New Roman" w:cs="FrankRuehl"/>
          <w:rtl w:val="true"/>
        </w:rPr>
        <w:t xml:space="preserve"> </w:t>
      </w:r>
      <w:r>
        <w:rPr>
          <w:rFonts w:ascii="FrankRuehl" w:hAnsi="FrankRuehl" w:eastAsia="Times New Roman" w:cs="FrankRuehl"/>
          <w:rtl w:val="true"/>
        </w:rPr>
        <w:t>שאוזכרה</w:t>
      </w:r>
      <w:r>
        <w:rPr>
          <w:rFonts w:eastAsia="Times New Roman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1977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192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Calibri" w:hAnsi="Calibri" w:eastAsia="Times New Roman" w:cs="Calibri"/>
          <w:sz w:val="6"/>
          <w:szCs w:val="6"/>
        </w:rPr>
      </w:pPr>
      <w:r>
        <w:rPr>
          <w:rFonts w:eastAsia="Times New Roman" w:cs="Calibri" w:ascii="Calibri" w:hAnsi="Calibri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Calibri" w:hAnsi="Calibri" w:eastAsia="Times New Roman" w:cs="Calibri"/>
          <w:sz w:val="6"/>
          <w:szCs w:val="6"/>
        </w:rPr>
      </w:pPr>
      <w:r>
        <w:rPr>
          <w:rFonts w:eastAsia="Times New Roman" w:cs="Calibri" w:ascii="Calibri" w:hAnsi="Calibri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Calibri" w:ascii="Calibri" w:hAnsi="Calibri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bookmarkStart w:id="7" w:name="PsakDin"/>
      <w:bookmarkEnd w:id="7"/>
      <w:r>
        <w:rPr>
          <w:rFonts w:eastAsia="David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bookmarkStart w:id="8" w:name="ABSTRACT_START"/>
      <w:bookmarkEnd w:id="8"/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10.11.14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כתב</w:t>
      </w:r>
      <w:r>
        <w:rPr>
          <w:rFonts w:eastAsia="Times New Roman" w:cs="Calibri" w:ascii="Calibri" w:hAnsi="Calibri"/>
          <w:b/>
          <w:bCs/>
          <w:rtl w:val="true"/>
        </w:rPr>
        <w:t>-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"),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עבירות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סעיף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8"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1977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"); </w:t>
      </w:r>
      <w:r>
        <w:rPr>
          <w:rFonts w:ascii="Calibri" w:hAnsi="Calibri" w:eastAsia="Times New Roman" w:cs="Calibri"/>
          <w:u w:val="single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מקרים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192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u w:val="single"/>
          <w:rtl w:val="true"/>
        </w:rPr>
        <w:t>ירי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באזור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340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u w:val="single"/>
          <w:rtl w:val="true"/>
        </w:rPr>
        <w:t>חבלה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במזיד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</w:t>
        </w:r>
      </w:hyperlink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על</w:t>
      </w:r>
      <w:r>
        <w:rPr>
          <w:rFonts w:eastAsia="Times New Roman" w:cs="Calibri" w:ascii="Calibri" w:hAnsi="Calibri"/>
          <w:u w:val="single"/>
          <w:rtl w:val="true"/>
        </w:rPr>
        <w:t>-</w:t>
      </w:r>
      <w:r>
        <w:rPr>
          <w:rFonts w:ascii="Calibri" w:hAnsi="Calibri" w:eastAsia="Times New Roman" w:cs="Calibri"/>
          <w:u w:val="single"/>
          <w:rtl w:val="true"/>
        </w:rPr>
        <w:t>פי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האישום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16.11.12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למאפיית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אלחסן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בנצרת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זכי</w:t>
      </w:r>
      <w:r>
        <w:rPr>
          <w:rFonts w:eastAsia="Times New Roman" w:cs="Calibri" w:ascii="Calibri" w:hAnsi="Calibri"/>
          <w:rtl w:val="true"/>
        </w:rPr>
        <w:t xml:space="preserve">") </w:t>
      </w:r>
      <w:r>
        <w:rPr>
          <w:rFonts w:ascii="Calibri" w:hAnsi="Calibri" w:eastAsia="Times New Roman" w:cs="Calibri"/>
          <w:rtl w:val="true"/>
        </w:rPr>
        <w:t>שעובד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במאפייה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ושאל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לזהותו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המאפייה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וניגש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ומנעו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להתקרב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קילל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המאפייה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משענה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דודיו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חרקים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קילל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יהרוג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בנצרת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")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ההדורים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צעק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יפוצץ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הבתים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בבלוני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אוטובוס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האקדח</w:t>
      </w:r>
      <w:r>
        <w:rPr>
          <w:rFonts w:eastAsia="Times New Roman" w:cs="Calibri" w:ascii="Calibri" w:hAnsi="Calibri"/>
          <w:rtl w:val="true"/>
        </w:rPr>
        <w:t xml:space="preserve">"),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באוויר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u w:val="single"/>
          <w:rtl w:val="true"/>
        </w:rPr>
        <w:t>על</w:t>
      </w:r>
      <w:r>
        <w:rPr>
          <w:rFonts w:eastAsia="Times New Roman" w:cs="Calibri" w:ascii="Calibri" w:hAnsi="Calibri"/>
          <w:u w:val="single"/>
          <w:rtl w:val="true"/>
        </w:rPr>
        <w:t>-</w:t>
      </w:r>
      <w:r>
        <w:rPr>
          <w:rFonts w:ascii="Calibri" w:hAnsi="Calibri" w:eastAsia="Times New Roman" w:cs="Calibri"/>
          <w:u w:val="single"/>
          <w:rtl w:val="true"/>
        </w:rPr>
        <w:t>פי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האישום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21.01.14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05:05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טויוטה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46-903-36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מוניר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מוחמד</w:t>
      </w:r>
      <w:r>
        <w:rPr>
          <w:rFonts w:eastAsia="Times New Roman" w:cs="Calibri" w:ascii="Calibri" w:hAnsi="Calibri"/>
          <w:rtl w:val="true"/>
        </w:rPr>
        <w:t xml:space="preserve">") </w:t>
      </w:r>
      <w:r>
        <w:rPr>
          <w:rFonts w:ascii="Calibri" w:hAnsi="Calibri" w:eastAsia="Times New Roman" w:cs="Calibri"/>
          <w:rtl w:val="true"/>
        </w:rPr>
        <w:t>בשכונת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אלכרום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בנצרת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מצויד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המוזכר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שחלקן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22.01.15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03.03.15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אלכוהול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והכחיש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לחלוטין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מאוחר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ההכחשה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וסיפר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אלכוהול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הקודמת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להרגלי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קצינת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בהתייחסותו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ולדפוסי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ונמנעה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הקהילה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לחמש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המפורטים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ולכאורה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נפרדים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לדבריה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חפיפה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האישומים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21.01.14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ושוחרר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10.02.14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האכיפה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מאוחר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03.06.14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16.06.14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וחמישה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קרי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16.06.14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לסיכום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במצטבר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הסנגור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המאוחר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ותיקן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יחסיו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הסניגור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לחילופין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חפיפת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חמודי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שאישר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פייסל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פאח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ילד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לחלוטין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eastAsia="Times New Roman"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בטעותו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בסביבת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ומבנים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בנמקו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בעיקר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מסוג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מקימות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פוטנציאל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להסלמה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עבריינית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ויוצרות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סיכון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וחמור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לשלום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וביטחונו</w:t>
      </w:r>
      <w:r>
        <w:rPr>
          <w:rFonts w:eastAsia="Times New Roman" w:cs="Calibri" w:ascii="Calibri" w:hAnsi="Calibri"/>
          <w:rtl w:val="true"/>
        </w:rPr>
        <w:t>" (</w:t>
      </w:r>
      <w:hyperlink r:id="rId1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3156/11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זראיעה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21.02.12</w:t>
      </w:r>
      <w:r>
        <w:rPr>
          <w:rFonts w:eastAsia="Times New Roman"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ונשיאתו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וגופם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ובתחושת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משפחותיהם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שמעניקים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לעקרון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קדושת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לנקוט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hyperlink r:id="rId1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2006/12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אסדי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28.03.12</w:t>
      </w:r>
      <w:r>
        <w:rPr>
          <w:rFonts w:eastAsia="Times New Roman"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נסיבות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הקשורות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בביצוע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העבירות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למטרות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פיוס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מתוכננים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תשאל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שהצטייד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פחותות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בחומרתן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ההצטיידות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המוקדמת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להבדיל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באוויר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כמבצעם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הבלעדי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והצטיידות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שהכיל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לרכוש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ובסביבת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טמון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החשש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החשש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לתגובה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ולהסלמת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למניעיו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ומחומרתם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אינדיקציה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מדיניות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הענישה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הנוהגת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ומתחמי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הענישה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ההולמים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1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5604/11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נאסר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5.10.11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eastAsia="Times New Roman" w:cs="Calibri" w:ascii="Calibri" w:hAnsi="Calibri"/>
          <w:rtl w:val="true"/>
        </w:rPr>
        <w:t>: "</w:t>
      </w:r>
      <w:r>
        <w:rPr>
          <w:rFonts w:ascii="Calibri" w:hAnsi="Calibri" w:eastAsia="Times New Roman" w:cs="Calibri"/>
          <w:b/>
          <w:b/>
          <w:bCs/>
          <w:rtl w:val="true"/>
        </w:rPr>
        <w:t>מקימה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סיכון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וחמור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ויוצרת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פוטנציאל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להסלמה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עבריינית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ולפיכך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מחייבת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ליתן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ביטוי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עונשי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המרתיע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באמצעות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הרחקת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מבצע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העבירה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החברה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לתקופה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מסוימת</w:t>
      </w:r>
      <w:r>
        <w:rPr>
          <w:rFonts w:eastAsia="Times New Roman" w:cs="Calibri" w:ascii="Calibri" w:hAnsi="Calibri"/>
          <w:rtl w:val="true"/>
        </w:rPr>
        <w:t xml:space="preserve">".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וכדורים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התאפיין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הקונקרטי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1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4595/13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זובידאת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06.07.14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המערערים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שפעלו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בצוותא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נשיאה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והובלת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u w:val="single"/>
          <w:rtl w:val="true"/>
        </w:rPr>
        <w:t>ירי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באזור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u w:val="single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u w:val="single"/>
          <w:rtl w:val="true"/>
        </w:rPr>
        <w:t>קשירת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קשר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לפשע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והפחדה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נכנסו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במרפסת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הקרקע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ענישה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הנע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שנתיים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וחצי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לחמש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שנות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30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בגזר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דיני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1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7070-07-13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גמליאל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30.11.14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קבעתי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החזקת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u w:val="single"/>
          <w:rtl w:val="true"/>
        </w:rPr>
        <w:t>ירי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באזור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מגורים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שעמום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גרידא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שהוכחה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קלצ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ניקוב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תחמושת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תואמים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באוויר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בסלון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שטוענת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ממסכת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באשר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שקדמו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והכוונת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30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-</w:t>
      </w:r>
      <w:r>
        <w:rPr>
          <w:rFonts w:eastAsia="Times New Roman" w:cs="Calibri" w:ascii="Calibri" w:hAnsi="Calibri"/>
          <w:b/>
          <w:bCs/>
          <w:u w:val="single"/>
        </w:rPr>
        <w:t>54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בפועל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באשר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השני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שבגינו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שהחזקתו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והובלתו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סבורני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24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-</w:t>
      </w:r>
      <w:r>
        <w:rPr>
          <w:rFonts w:eastAsia="Times New Roman" w:cs="Calibri" w:ascii="Calibri" w:hAnsi="Calibri"/>
          <w:b/>
          <w:bCs/>
          <w:u w:val="single"/>
        </w:rPr>
        <w:t>48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בניגוד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סמכותי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סיפא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  <w:rtl w:val="true"/>
        </w:rPr>
        <w:t>נסיבות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העושה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10.11.14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וחמישה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והשנייה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03.11.14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וקנס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נתתי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להתייחסותו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הבעייתית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לעדויות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אינדיקציה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ששרר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לכאורה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מכריע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וכפי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2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6340/11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זחיאקה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16.2.2012</w:t>
      </w:r>
      <w:r>
        <w:rPr>
          <w:rFonts w:eastAsia="Times New Roman" w:cs="Calibri" w:ascii="Calibri" w:hAnsi="Calibri"/>
          <w:rtl w:val="true"/>
        </w:rPr>
        <w:t>)):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אין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חולק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אקט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הסולחה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מקדם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השכנת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השלום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קורבנו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וכי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מלמד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נטילת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אחריות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מצד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הראשון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פיצויו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האחרון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אולם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הסולחה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הנערכת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במסגרות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פרטיות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אינה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יכולה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לשמש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תחליף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לענישה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eastAsia="Times New Roman" w:cs="Calibri" w:ascii="Calibri" w:hAnsi="Calibri"/>
          <w:b/>
          <w:bCs/>
          <w:rtl w:val="true"/>
        </w:rPr>
        <w:t>-</w:t>
      </w:r>
      <w:r>
        <w:rPr>
          <w:rFonts w:ascii="Calibri" w:hAnsi="Calibri" w:eastAsia="Times New Roman" w:cs="Calibri"/>
          <w:b/>
          <w:b/>
          <w:bCs/>
          <w:rtl w:val="true"/>
        </w:rPr>
        <w:t>פי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בידיהן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רשויות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האכיפה</w:t>
      </w:r>
      <w:r>
        <w:rPr>
          <w:rFonts w:eastAsia="Times New Roman" w:cs="Calibri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 xml:space="preserve">גוזר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הבאים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ארבעים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46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לנשיאה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21.01.14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10.02.14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03.06.14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16.06.14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ארבע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תמורתו</w:t>
      </w:r>
      <w:r>
        <w:rPr>
          <w:rFonts w:ascii="Calibri" w:hAnsi="Calibri" w:eastAsia="Times New Roman" w:cs="Calibri"/>
          <w:rtl w:val="true"/>
        </w:rPr>
        <w:t xml:space="preserve"> בנוסף לכל מאסר אחר שהנאשם מרצה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הקנס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 xml:space="preserve">מקום </w:t>
      </w:r>
      <w:r>
        <w:rPr>
          <w:rFonts w:ascii="Calibri" w:hAnsi="Calibri" w:eastAsia="Times New Roman" w:cs="Calibri"/>
          <w:rtl w:val="true"/>
        </w:rPr>
        <w:t>לפסוק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יובהר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תגובה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מהיום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6"/>
          <w:szCs w:val="6"/>
        </w:rPr>
      </w:pPr>
      <w:r>
        <w:rPr>
          <w:rFonts w:eastAsia="Times New Roman" w:cs="Calibri" w:ascii="Calibri" w:hAnsi="Calibri"/>
          <w:b/>
          <w:bCs/>
          <w:sz w:val="6"/>
          <w:szCs w:val="6"/>
          <w:rtl w:val="true"/>
        </w:rPr>
        <w:t>&lt;</w:t>
      </w:r>
      <w:r>
        <w:rPr>
          <w:rFonts w:eastAsia="Times New Roman" w:cs="Calibri" w:ascii="Calibri" w:hAnsi="Calibri"/>
          <w:b/>
          <w:bCs/>
          <w:sz w:val="6"/>
          <w:szCs w:val="6"/>
        </w:rPr>
        <w:t>#4#</w:t>
      </w:r>
      <w:r>
        <w:rPr>
          <w:rFonts w:eastAsia="Times New Roman" w:cs="Calibri" w:ascii="Calibri" w:hAnsi="Calibri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Calibri" w:hAnsi="Calibri" w:eastAsia="Times New Roman" w:cs="Calibri"/>
          <w:b/>
          <w:bCs/>
          <w:sz w:val="6"/>
          <w:szCs w:val="6"/>
        </w:rPr>
      </w:pPr>
      <w:r>
        <w:rPr>
          <w:rFonts w:eastAsia="Times New Roman" w:cs="Calibri" w:ascii="Calibri" w:hAnsi="Calibri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  <w:t xml:space="preserve"> 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DaunPenh"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34514-06-14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פאח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ascii="DaunPenh" w:hAnsi="DaunPenh" w:cs="David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7z0">
    <w:name w:val="WW8Num17z0"/>
    <w:qFormat/>
    <w:rPr>
      <w:rFonts w:ascii="DaunPenh" w:hAnsi="DaunPenh" w:cs="David"/>
    </w:rPr>
  </w:style>
  <w:style w:type="character" w:styleId="WW8Num17z1">
    <w:name w:val="WW8Num17z1"/>
    <w:qFormat/>
    <w:rPr>
      <w:rFonts w:cs="Times New Roman"/>
    </w:rPr>
  </w:style>
  <w:style w:type="character" w:styleId="WW8Num19z0">
    <w:name w:val="WW8Num19z0"/>
    <w:qFormat/>
    <w:rPr>
      <w:rFonts w:cs="David"/>
    </w:rPr>
  </w:style>
  <w:style w:type="character" w:styleId="WW8Num19z1">
    <w:name w:val="WW8Num1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jc.b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5578534" TargetMode="External"/><Relationship Id="rId15" Type="http://schemas.openxmlformats.org/officeDocument/2006/relationships/hyperlink" Target="http://www.nevo.co.il/case/6024035" TargetMode="External"/><Relationship Id="rId16" Type="http://schemas.openxmlformats.org/officeDocument/2006/relationships/hyperlink" Target="http://www.nevo.co.il/case/7697292" TargetMode="External"/><Relationship Id="rId17" Type="http://schemas.openxmlformats.org/officeDocument/2006/relationships/hyperlink" Target="http://www.nevo.co.il/case/7762217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40jc.b" TargetMode="External"/><Relationship Id="rId20" Type="http://schemas.openxmlformats.org/officeDocument/2006/relationships/hyperlink" Target="http://www.nevo.co.il/case/5594302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2017-09-28T10:22:00Z</dcterms:created>
  <dc:creator> </dc:creator>
  <dc:description/>
  <cp:keywords/>
  <dc:language>en-IL</dc:language>
  <cp:lastModifiedBy>run</cp:lastModifiedBy>
  <dcterms:modified xsi:type="dcterms:W3CDTF">2017-09-28T10:22:00Z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מוחמד פאח'ורי</vt:lpwstr>
  </property>
  <property fmtid="{D5CDD505-2E9C-101B-9397-08002B2CF9AE}" pid="4" name="CASESLISTTMP1">
    <vt:lpwstr>5878682;5578534;6024035;7697292;7762217;5594302</vt:lpwstr>
  </property>
  <property fmtid="{D5CDD505-2E9C-101B-9397-08002B2CF9AE}" pid="5" name="CITY">
    <vt:lpwstr>נצ'</vt:lpwstr>
  </property>
  <property fmtid="{D5CDD505-2E9C-101B-9397-08002B2CF9AE}" pid="6" name="DATE">
    <vt:lpwstr>20150521</vt:lpwstr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LISTTMP1">
    <vt:lpwstr>70301/144.b:2;192;340a;413e;40jc.b</vt:lpwstr>
  </property>
  <property fmtid="{D5CDD505-2E9C-101B-9397-08002B2CF9AE}" pid="10" name="LAWYER">
    <vt:lpwstr>הובא;הובא ו סרי חורי;יעל כ"ץ</vt:lpwstr>
  </property>
  <property fmtid="{D5CDD505-2E9C-101B-9397-08002B2CF9AE}" pid="11" name="NEWPARTA">
    <vt:lpwstr>34514</vt:lpwstr>
  </property>
  <property fmtid="{D5CDD505-2E9C-101B-9397-08002B2CF9AE}" pid="12" name="NEWPARTB">
    <vt:lpwstr>06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390020150521</vt:lpwstr>
  </property>
  <property fmtid="{D5CDD505-2E9C-101B-9397-08002B2CF9AE}" pid="18" name="TYPE_N_DATE">
    <vt:lpwstr>39020150521</vt:lpwstr>
  </property>
  <property fmtid="{D5CDD505-2E9C-101B-9397-08002B2CF9AE}" pid="19" name="WORDNUMPAGES">
    <vt:lpwstr>7</vt:lpwstr>
  </property>
</Properties>
</file>