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33"/>
        <w:gridCol w:w="298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73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34526-06-18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כמיל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8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רונית בש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האד כמיל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עודי כמיל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סעיפים</w:t>
      </w:r>
      <w:r>
        <w:rPr>
          <w:rFonts w:cs="Times New Roman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 xml:space="preserve"> 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 xml:space="preserve">) </w:t>
        </w:r>
        <w:r>
          <w:rPr>
            <w:rStyle w:val="Hyperlink"/>
            <w:rFonts w:cs="FrankRuehl"/>
            <w:szCs w:val="26"/>
            <w:rtl w:val="true"/>
          </w:rPr>
          <w:t>ו</w:t>
        </w:r>
        <w:r>
          <w:rPr>
            <w:rStyle w:val="Hyperlink"/>
            <w:rFonts w:cs="FrankRuehl"/>
            <w:szCs w:val="26"/>
            <w:rtl w:val="true"/>
          </w:rPr>
          <w:t>-(</w:t>
        </w:r>
        <w:r>
          <w:rPr>
            <w:rStyle w:val="Hyperlink"/>
            <w:rFonts w:cs="FrankRuehl"/>
            <w:szCs w:val="26"/>
            <w:rtl w:val="true"/>
          </w:rPr>
          <w:t>ב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340</w:t>
        </w:r>
        <w:r>
          <w:rPr>
            <w:rStyle w:val="Hyperlink"/>
            <w:rFonts w:cs="FrankRuehl"/>
            <w:szCs w:val="26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למיניהן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והרות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הגורל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הנאש</w:t>
      </w:r>
      <w:r>
        <w:rPr>
          <w:rFonts w:ascii="Arial" w:hAnsi="Arial" w:cs="Arial"/>
          <w:rtl w:val="true"/>
        </w:rPr>
        <w:t xml:space="preserve">מים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יסוד הודאת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בעובדות 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שתוקן במסגרת הסדר טיעון בין הצדדים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לא כלל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סעיפים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העונשין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-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ascii="Arial" w:hAnsi="Arial" w:cs="Arial"/>
          <w:rtl w:val="true"/>
        </w:rPr>
        <w:t xml:space="preserve"> בחודש 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ביתם ורכבם של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המתוקן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31/5/18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31/5/18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סילברדו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70-676-69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תרשיחא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הרחבה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לרחבה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במעשיה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 </w:t>
      </w:r>
      <w:r>
        <w:rPr>
          <w:rFonts w:cs="Miriam"/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</w:rPr>
        <w:t>1</w:t>
      </w:r>
      <w:r>
        <w:rPr>
          <w:rFonts w:cs="Miriam"/>
          <w:u w:val="single"/>
          <w:rtl w:val="true"/>
        </w:rPr>
        <w:t xml:space="preserve"> 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Miriam"/>
          <w:u w:val="single"/>
          <w:rtl w:val="true"/>
        </w:rPr>
        <w:t xml:space="preserve">: </w:t>
      </w:r>
      <w:r>
        <w:rPr>
          <w:rFonts w:cs="Miriam"/>
          <w:u w:val="single"/>
          <w:rtl w:val="true"/>
        </w:rPr>
        <w:t>הנאשם</w:t>
      </w:r>
      <w:r>
        <w:rPr>
          <w:rFonts w:cs="Miriam"/>
          <w:u w:val="single"/>
          <w:rtl w:val="true"/>
        </w:rPr>
        <w:t>)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2/10/18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בדידות</w:t>
      </w:r>
      <w:r>
        <w:rPr>
          <w:rtl w:val="true"/>
        </w:rPr>
        <w:t xml:space="preserve">, </w:t>
      </w:r>
      <w:r>
        <w:rPr>
          <w:rtl w:val="true"/>
        </w:rPr>
        <w:t>געגוע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-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15/7/14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4/5/15</w:t>
      </w:r>
      <w:r>
        <w:rPr>
          <w:rtl w:val="true"/>
        </w:rPr>
        <w:t xml:space="preserve"> </w:t>
      </w:r>
      <w:r>
        <w:rPr>
          <w:rtl w:val="true"/>
        </w:rPr>
        <w:t>ובמקומו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והקוגניטיביו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</w:t>
      </w:r>
      <w:r>
        <w:rPr>
          <w:rtl w:val="true"/>
        </w:rPr>
        <w:t xml:space="preserve">, </w:t>
      </w:r>
      <w:r>
        <w:rPr>
          <w:rtl w:val="true"/>
        </w:rPr>
        <w:t>המאופיינים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Miriam"/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 </w:t>
      </w:r>
      <w:r>
        <w:rPr>
          <w:rFonts w:cs="Miriam"/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</w:rPr>
        <w:t>2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משפח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נכנע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מופנמים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הראיות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העקיף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צוינה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21/10/18</w:t>
      </w:r>
      <w:r>
        <w:rPr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1/11/18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1/11/18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והכרעה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</w:t>
      </w:r>
      <w:r>
        <w:rPr>
          <w:rFonts w:ascii="Calibri" w:hAnsi="Calibri" w:cs="Calibri"/>
          <w:rtl w:val="true"/>
        </w:rPr>
        <w:t xml:space="preserve">ו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הכלולות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ות בתיק זה שעיקרן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>. 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לסוגיהן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מגלמות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ולב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Miriam"/>
          <w:rtl w:val="true"/>
        </w:rPr>
        <w:t>טחונו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יתגלגלו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ואיזה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בעתיד</w:t>
      </w:r>
      <w:r>
        <w:rPr>
          <w:rFonts w:cs="Calibri" w:ascii="Calibri" w:hAnsi="Calibri"/>
          <w:rtl w:val="true"/>
        </w:rPr>
        <w:t>" (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‏</w:t>
      </w:r>
      <w:r>
        <w:rPr>
          <w:rFonts w:ascii="Calibri" w:hAnsi="Calibri" w:cs="Miriam"/>
          <w:rtl w:val="true"/>
        </w:rPr>
        <w:t>כוויס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לחובת שני הנאשמים יצוין כי עסקינן בהחזקת ונשיאת נשק מסוג 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 מאולתר כשהוא טעון במחסנית ובה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הממחיש את פוטנציאל המסוכנות הרב הטמון בעבירת הנשק בה הורשעו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במקרה דנן יש להוסיף נופך של חומרה להתנהלותו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מעבר לנשיאת והחזקת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ירה בו מספר יריות באוויר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כל המשתמע מכך לעניין הסכנה האפשרית לביטחון 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המחוקק הביע לאחרונה את עמדתו המחמירה לעניין העבירה של ירי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בהגדילו את עונש המאסר המרבי  בגין עבירה זו מעונש של שנת מאסר לעונש של חמש 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כי התיקון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אינו חל בענייננו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הגורל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שנאמרו זה מכבר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18.11.2007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start="1440" w:end="851"/>
        <w:jc w:val="both"/>
        <w:rPr>
          <w:rFonts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הניסיון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מקורו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מפוקפק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למפגעים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למיניהם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הוכיחו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להשתמש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במקומות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סואנים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מהירי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לפיכך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התרענו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ונחזור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ונתריע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הפעם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באובדן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חירותו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ממושכת</w:t>
      </w:r>
      <w:r>
        <w:rPr>
          <w:rFonts w:cs="Miriam" w:ascii="Calibri" w:hAnsi="Calibri"/>
          <w:rtl w:val="true"/>
        </w:rPr>
        <w:t>..</w:t>
      </w:r>
      <w:r>
        <w:rPr>
          <w:rFonts w:cs="Calibri" w:ascii="Calibri" w:hAnsi="Calibri"/>
          <w:rtl w:val="true"/>
        </w:rPr>
        <w:t>.".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8.7.14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513" w:end="851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3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ומהתם להכא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מעבר להחזקת ונשיאת הנשק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בחר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לעשות שימוש  בנשק באזור מגורים בו עלולים להיפגע 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אף שהירי היה באוויר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 לנו להתעלם בתיק זה מהרקע לביצוע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העולה מסעיף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 כתב האישום המתוקן הנזכר 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ודוקו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ברקע העבירות שבפנינו קיים סכסוך שבמסגרתו נורו יריות לעבר ביתם ורכבם של הנאשמים בשני אירועים שונים שאירעו במהלך חודש מאי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שהינו החודש בו בוצעו העבירות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31/5/18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כן אוסיף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אין חולק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 עובר לאירוע שבפנינו לסיועו של קצין מודיעין במשטרת ישראל ותיאר סכסוך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להעניק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משקל לקולא לרקע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לביצוע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העולה מכתב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לרבות לניסיונו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 במשטרת 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ראוי לשוב ולהדגיש בד בבד את חומרת העבירות שבפנינו ולהתריע מפני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לקיחת החוק לידיים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ועשיית דין 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כל המשתמע מכך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אלוליאיה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13.9.17</w:t>
      </w:r>
      <w:r>
        <w:rPr>
          <w:rtl w:val="true"/>
        </w:rPr>
        <w:t xml:space="preserve">)). </w:t>
      </w:r>
      <w:r>
        <w:rPr>
          <w:rFonts w:cs="Miriam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35007-04-13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איסלאם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עזאיזה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08.01.15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 ו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 על הנאשם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רכיבי ענישה של מאסר מותנה וקנס בסך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, </w:t>
      </w:r>
      <w:r>
        <w:rPr>
          <w:rFonts w:ascii="Calibri" w:hAnsi="Calibri" w:cs="Calibri"/>
          <w:rtl w:val="true"/>
        </w:rPr>
        <w:t xml:space="preserve">תוך קביעת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31862-05-13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1.10.13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3451-02-14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אלעאל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23.9.14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אלהווה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31.12.14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ביצועה של עבירה שעניינה 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תת מקלע מאולת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4338-04-13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אביעוז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11.12.16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31034-06-17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מסרי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17/4/18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 על נאשם בעל עבר 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 עבירה שעניינה נשיאת נשק מסוג 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 מאולתר ובתוכו מחסנית ובה כדור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לצד רכיבי ענישה של מאסר מותנה וקנס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שבחנתי את הערכים החברתיים שנפגעו כתוצאה מביצוע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נסיבות ביצוען ומדיניות הענישה הנהוגה בעבירות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גם בחנתי את הפסיקה אלה הפנה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אחד מהצדדים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הגעתי לכלל מסקנה כי מתחם העונש ההולם בתיק זה נע בין עונש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לצד רכיבי ענישה של מאסר מותנה וקנס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יושת חלף חילוטו של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להסכמת הצדדים שהובאה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 הנסיבות שאינן קשורות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 ראשית את הודאת הנאשמים בהזדמנות הראשונה 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חסכה מזמנו היקר של בית המשפט והעדת מספר רב של 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אציין בנקודה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 נסיבותיהם המשפחתיות והאישיות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המצטיירות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ממקרא תסקירי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שני הנאשמים מסוגלים כיום להתבונן באופן ביקורתי על מעשיהם ומבינים את חומרתם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 הנכונות שהביעו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בא שירות המבחן בהמלצה לשלבם בהליך טיפולי במסגרת הקהילה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אם בין כותלי בית הסוהר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מגיליון המרשם הפלילי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 כי לחובתו שתי הרשעות קודמות בגין עבירות שעניינן חבלה חמורה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הצתת רכב מנועי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להצתת רכב מנועי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 קשר לפשע ואף ירי מנשק חם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כדוגמת העבירה בה הורשע בתיק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ריצה בעבר מאסר בפועל של ממש לתקופה של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לחובתו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 הרשעות קודמות בעבירות 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עבירת עוון של החזקת חלק של נשק או 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ריצה בעבר שני מאסרים בפועל לתקופות קצרות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ששקללתי את מכלול הטעמים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שאינם קשורים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הגעתי לכלל מסקנה כי מן הראוי להשית בתיק זה על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ועל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תוך ניכוי ימי מעצרם ולצד רכיבי הענישה הנלווים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בסיכומו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דנה כל אחד 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double"/>
        </w:rPr>
      </w:pPr>
      <w:r>
        <w:rPr>
          <w:rFonts w:cs="Calibri" w:ascii="Calibri" w:hAnsi="Calibri"/>
          <w:b/>
          <w:bCs/>
          <w:u w:val="doub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double"/>
        </w:rPr>
      </w:pPr>
      <w:r>
        <w:rPr>
          <w:rFonts w:ascii="Calibri" w:hAnsi="Calibri" w:cs="Calibri"/>
          <w:b/>
          <w:b/>
          <w:bCs/>
          <w:u w:val="double"/>
          <w:rtl w:val="true"/>
        </w:rPr>
        <w:t xml:space="preserve">נאשם </w:t>
      </w:r>
      <w:r>
        <w:rPr>
          <w:rFonts w:cs="Calibri" w:ascii="Calibri" w:hAnsi="Calibri"/>
          <w:b/>
          <w:bCs/>
          <w:u w:val="double"/>
        </w:rPr>
        <w:t>1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בפועל לתקופה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מעצרו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31/5/18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 כה</w:t>
      </w:r>
      <w:r>
        <w:rPr>
          <w:rFonts w:cs="Calibri" w:ascii="Calibri" w:hAnsi="Calibri"/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מסוג פשע לפי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לפי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עבירה מסוג עוון לפי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אני דנה את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לתשלום קנס כספי בסך </w:t>
      </w:r>
      <w:r>
        <w:rPr>
          <w:rFonts w:cs="Calibri" w:ascii="Calibri" w:hAnsi="Calibri"/>
        </w:rPr>
        <w:t>6,500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 בתשלום הסכום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עד ליום </w:t>
      </w:r>
      <w:r>
        <w:rPr>
          <w:rFonts w:cs="Calibri" w:ascii="Calibri" w:hAnsi="Calibri"/>
        </w:rPr>
        <w:t>3/3/19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double"/>
        </w:rPr>
      </w:pPr>
      <w:r>
        <w:rPr>
          <w:rFonts w:ascii="Calibri" w:hAnsi="Calibri" w:cs="Calibri"/>
          <w:b/>
          <w:b/>
          <w:bCs/>
          <w:u w:val="double"/>
          <w:rtl w:val="true"/>
        </w:rPr>
        <w:t xml:space="preserve">נאשם </w:t>
      </w:r>
      <w:r>
        <w:rPr>
          <w:rFonts w:cs="Calibri" w:ascii="Calibri" w:hAnsi="Calibri"/>
          <w:b/>
          <w:bCs/>
          <w:u w:val="double"/>
        </w:rPr>
        <w:t>2</w:t>
      </w:r>
      <w:r>
        <w:rPr>
          <w:rFonts w:cs="Calibri" w:ascii="Calibri" w:hAnsi="Calibri"/>
          <w:b/>
          <w:bCs/>
          <w:u w:val="doub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בפועל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מעצרו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31/5/18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 כה</w:t>
      </w:r>
      <w:r>
        <w:rPr>
          <w:rFonts w:cs="Calibri" w:ascii="Calibri" w:hAnsi="Calibri"/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מסוג פשע לפי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מסוג עוון לפי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אני דנה את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לתשלום קנס כספי בסך </w:t>
      </w:r>
      <w:r>
        <w:rPr>
          <w:rFonts w:cs="Calibri" w:ascii="Calibri" w:hAnsi="Calibri"/>
        </w:rPr>
        <w:t>6,500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 בתשלום הסכום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עד ליום </w:t>
      </w:r>
      <w:r>
        <w:rPr>
          <w:rFonts w:cs="Calibri" w:ascii="Calibri" w:hAnsi="Calibri"/>
        </w:rPr>
        <w:t>3/3/19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u w:val="single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הנאשמים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עוז ועו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חאג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והנאשמים שהובאו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34526-06-18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האד כמיל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imes New Roman" w:hAnsi="Times New Roman" w:eastAsia="Times New Roman" w:cs="David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9.a" TargetMode="External"/><Relationship Id="rId12" Type="http://schemas.openxmlformats.org/officeDocument/2006/relationships/hyperlink" Target="http://www.nevo.co.il/law/70301/144.a.;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918/39.a" TargetMode="External"/><Relationship Id="rId21" Type="http://schemas.openxmlformats.org/officeDocument/2006/relationships/hyperlink" Target="http://www.nevo.co.il/law/74918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243627" TargetMode="External"/><Relationship Id="rId25" Type="http://schemas.openxmlformats.org/officeDocument/2006/relationships/hyperlink" Target="http://www.nevo.co.il/law/70301/40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601503" TargetMode="External"/><Relationship Id="rId30" Type="http://schemas.openxmlformats.org/officeDocument/2006/relationships/hyperlink" Target="http://www.nevo.co.il/case/6034921" TargetMode="External"/><Relationship Id="rId31" Type="http://schemas.openxmlformats.org/officeDocument/2006/relationships/hyperlink" Target="http://www.nevo.co.il/case/13093744" TargetMode="External"/><Relationship Id="rId32" Type="http://schemas.openxmlformats.org/officeDocument/2006/relationships/hyperlink" Target="http://www.nevo.co.il/case/7791493" TargetMode="External"/><Relationship Id="rId33" Type="http://schemas.openxmlformats.org/officeDocument/2006/relationships/hyperlink" Target="http://www.nevo.co.il/case/21771409" TargetMode="External"/><Relationship Id="rId34" Type="http://schemas.openxmlformats.org/officeDocument/2006/relationships/hyperlink" Target="http://www.nevo.co.il/case/7878510" TargetMode="External"/><Relationship Id="rId35" Type="http://schemas.openxmlformats.org/officeDocument/2006/relationships/hyperlink" Target="http://www.nevo.co.il/case/7840699" TargetMode="External"/><Relationship Id="rId36" Type="http://schemas.openxmlformats.org/officeDocument/2006/relationships/hyperlink" Target="http://www.nevo.co.il/case/11289545" TargetMode="External"/><Relationship Id="rId37" Type="http://schemas.openxmlformats.org/officeDocument/2006/relationships/hyperlink" Target="http://www.nevo.co.il/case/13042005" TargetMode="External"/><Relationship Id="rId38" Type="http://schemas.openxmlformats.org/officeDocument/2006/relationships/hyperlink" Target="http://www.nevo.co.il/case/6864329" TargetMode="External"/><Relationship Id="rId39" Type="http://schemas.openxmlformats.org/officeDocument/2006/relationships/hyperlink" Target="http://www.nevo.co.il/case/22733878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40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2018-11-26T09:44:00Z</dcterms:created>
  <dc:creator> </dc:creator>
  <dc:description/>
  <cp:keywords/>
  <dc:language>en-IL</dc:language>
  <cp:lastModifiedBy>orly</cp:lastModifiedBy>
  <dcterms:modified xsi:type="dcterms:W3CDTF">2018-11-26T09:44:00Z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ג'האד כמיל;עודי כמיל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6243627;5601503;6034921;13093744;7791493;21771409;7878510;7840699;11289545;13042005;6864329;22733878</vt:lpwstr>
  </property>
  <property fmtid="{D5CDD505-2E9C-101B-9397-08002B2CF9AE}" pid="9" name="CITY">
    <vt:lpwstr>חי'</vt:lpwstr>
  </property>
  <property fmtid="{D5CDD505-2E9C-101B-9397-08002B2CF9AE}" pid="10" name="DATE">
    <vt:lpwstr>20181114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70301/144.a;144.b;340a:2;040b;040c;040i;144:4</vt:lpwstr>
  </property>
  <property fmtid="{D5CDD505-2E9C-101B-9397-08002B2CF9AE}" pid="15" name="LAWLISTTMP2">
    <vt:lpwstr>74918/039.a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34526</vt:lpwstr>
  </property>
  <property fmtid="{D5CDD505-2E9C-101B-9397-08002B2CF9AE}" pid="24" name="NEWPARTB">
    <vt:lpwstr>06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</vt:lpwstr>
  </property>
  <property fmtid="{D5CDD505-2E9C-101B-9397-08002B2CF9AE}" pid="60" name="PADIDATE">
    <vt:lpwstr>20181126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390120181114</vt:lpwstr>
  </property>
  <property fmtid="{D5CDD505-2E9C-101B-9397-08002B2CF9AE}" pid="70" name="TYPE_N_DATE">
    <vt:lpwstr>39020181114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