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3454-02-17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גאנם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פהיד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אנם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יאיר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גוייכמן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סבן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exact" w:line="240" w:before="0" w:after="120"/>
        <w:ind w:end="0"/>
        <w:jc w:val="both"/>
        <w:rPr>
          <w:rFonts w:ascii="FrankRuehl" w:hAnsi="FrankRuehl" w:cs="FrankRuehl"/>
          <w:b/>
          <w:bCs/>
          <w:u w:val="none"/>
        </w:rPr>
      </w:pPr>
      <w:r>
        <w:rPr>
          <w:rFonts w:cs="FrankRuehl" w:ascii="FrankRuehl" w:hAnsi="FrankRuehl"/>
          <w:b/>
          <w:bCs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11.9.2017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אחמד</w:t>
      </w:r>
      <w:r>
        <w:rPr>
          <w:rtl w:val="true"/>
        </w:rPr>
        <w:t xml:space="preserve">")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הבניין</w:t>
      </w:r>
      <w:r>
        <w:rPr>
          <w:rtl w:val="true"/>
        </w:rPr>
        <w:t xml:space="preserve">"). </w:t>
      </w:r>
      <w:r>
        <w:rPr>
          <w:rtl w:val="true"/>
        </w:rPr>
        <w:t>מאמצע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המחסן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20.1.2017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חמודי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21.1.2017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בקליע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;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;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11.9.2017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הארנונה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/>
        <w:t>3-12</w:t>
      </w:r>
      <w:r>
        <w:rPr>
          <w:rtl w:val="true"/>
        </w:rPr>
        <w:t xml:space="preserve">,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המספיקה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ספאא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גאנם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ונקודתי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ההתעשתות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3.2.2004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2.12.14</w:t>
      </w:r>
      <w:r>
        <w:rPr>
          <w:rtl w:val="true"/>
        </w:rPr>
        <w:t xml:space="preserve">),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המשיב ביצע מעשה חמור אשר פוטנציאל פגיעתו הוא רב</w:t>
      </w:r>
      <w:r>
        <w:rPr>
          <w:rtl w:val="true"/>
        </w:rPr>
        <w:t xml:space="preserve">. </w:t>
      </w:r>
      <w:r>
        <w:rPr>
          <w:rtl w:val="true"/>
        </w:rPr>
        <w:t>הוא נשא עמו נשק עת נפגש עם המתלונן והשתמש בו מספר פעמים תוך כדי סיכון חיי אדם</w:t>
      </w:r>
      <w:r>
        <w:rPr>
          <w:rtl w:val="true"/>
        </w:rPr>
        <w:t xml:space="preserve">, </w:t>
      </w:r>
      <w:r>
        <w:rPr>
          <w:rtl w:val="true"/>
        </w:rPr>
        <w:t>וכל זאת לשם בריונות והפחדה</w:t>
      </w:r>
      <w:r>
        <w:rPr>
          <w:rtl w:val="true"/>
        </w:rPr>
        <w:t xml:space="preserve">. </w:t>
      </w:r>
      <w:r>
        <w:rPr>
          <w:rtl w:val="true"/>
        </w:rPr>
        <w:t>לנוכח חומרת העבירות מסוג זה</w:t>
      </w:r>
      <w:r>
        <w:rPr>
          <w:rtl w:val="true"/>
        </w:rPr>
        <w:t xml:space="preserve">, </w:t>
      </w:r>
      <w:r>
        <w:rPr>
          <w:rtl w:val="true"/>
        </w:rPr>
        <w:t>ההשלכות הרות האסון ופוטנציאל הסכנה הגלום לשלמות החיים</w:t>
      </w:r>
      <w:r>
        <w:rPr>
          <w:rtl w:val="true"/>
        </w:rPr>
        <w:t xml:space="preserve">, </w:t>
      </w:r>
      <w:r>
        <w:rPr>
          <w:rtl w:val="true"/>
        </w:rPr>
        <w:t>הגוף והנפש ולביטחון הציבור ופוטנציאל הפגיעה הגלום בהם</w:t>
      </w:r>
      <w:r>
        <w:rPr>
          <w:rtl w:val="true"/>
        </w:rPr>
        <w:t xml:space="preserve">, </w:t>
      </w:r>
      <w:r>
        <w:rPr>
          <w:rtl w:val="true"/>
        </w:rPr>
        <w:t>בית משפט זה קבע פעם אחר פעם כי יש לשדר מסר עונשי אשר ירתיע מפני ביצוע 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וזאת בדרך של נקיטה בענישה מחמירה אשר תרחיק את מבצע העבירה מן החברה לתקופת מאסר ממשית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אדרי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22.2.2007</w:t>
      </w:r>
      <w:r>
        <w:rPr>
          <w:rtl w:val="true"/>
        </w:rPr>
        <w:t xml:space="preserve">);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פאיד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28.11.2011</w:t>
      </w:r>
      <w:r>
        <w:rPr>
          <w:rtl w:val="true"/>
        </w:rPr>
        <w:t xml:space="preserve">); 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5120/11</w:t>
        </w:r>
      </w:hyperlink>
      <w:r>
        <w:rPr>
          <w:rtl w:val="true"/>
        </w:rPr>
        <w:t xml:space="preserve"> </w:t>
      </w:r>
      <w:r>
        <w:rPr>
          <w:rtl w:val="true"/>
        </w:rPr>
        <w:t>שתיווי נ</w:t>
      </w:r>
      <w:r>
        <w:rPr>
          <w:rtl w:val="true"/>
        </w:rPr>
        <w:t xml:space="preserve">' </w:t>
      </w:r>
      <w:r>
        <w:rPr>
          <w:rtl w:val="true"/>
        </w:rPr>
        <w:t xml:space="preserve">מדינת ישראל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18.12.2011</w:t>
      </w:r>
      <w:r>
        <w:rPr>
          <w:rtl w:val="true"/>
        </w:rPr>
        <w:t xml:space="preserve">)). </w:t>
      </w:r>
      <w:r>
        <w:rPr>
          <w:rtl w:val="true"/>
        </w:rPr>
        <w:t xml:space="preserve">עוד נקבע כי הדרישה להחמרה בעבירות אלה מועצמת כאשר עסקינן בנשק חם שרק צד אחד מחזיק בו </w:t>
      </w:r>
      <w:r>
        <w:rPr>
          <w:rtl w:val="true"/>
        </w:rPr>
        <w:t>(</w:t>
      </w:r>
      <w:r>
        <w:rPr>
          <w:rtl w:val="true"/>
        </w:rPr>
        <w:t>ראו לאחרונה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4038/14</w:t>
        </w:r>
      </w:hyperlink>
      <w:r>
        <w:rPr>
          <w:rtl w:val="true"/>
        </w:rPr>
        <w:t xml:space="preserve"> </w:t>
      </w:r>
      <w:r>
        <w:rPr>
          <w:rtl w:val="true"/>
        </w:rPr>
        <w:t>מדינת ישראל נ</w:t>
      </w:r>
      <w:r>
        <w:rPr>
          <w:rtl w:val="true"/>
        </w:rPr>
        <w:t xml:space="preserve">' </w:t>
      </w:r>
      <w:r>
        <w:rPr>
          <w:rtl w:val="true"/>
        </w:rPr>
        <w:t xml:space="preserve">מהראן אבו עאבד </w:t>
      </w:r>
      <w:r>
        <w:rPr>
          <w:rtl w:val="true"/>
        </w:rPr>
        <w:t>[</w:t>
      </w:r>
      <w:r>
        <w:rPr>
          <w:rtl w:val="true"/>
        </w:rPr>
        <w:t>פורסם בנבו</w:t>
      </w:r>
      <w:r>
        <w:rPr>
          <w:rtl w:val="true"/>
        </w:rPr>
        <w:t>] (</w:t>
      </w:r>
      <w:r>
        <w:rPr/>
        <w:t>15.07.2014</w:t>
      </w:r>
      <w:r>
        <w:rPr>
          <w:rtl w:val="true"/>
        </w:rPr>
        <w:t xml:space="preserve">)). </w:t>
      </w:r>
      <w:r>
        <w:rPr>
          <w:rtl w:val="true"/>
        </w:rPr>
        <w:t>חומרתן של החזקת ונשיאת נשק ללא היתר כדין אינה תחומה אך לעבירות עצמן ולהיותן מנוגדות לחוק החרות</w:t>
      </w:r>
      <w:r>
        <w:rPr>
          <w:rtl w:val="true"/>
        </w:rPr>
        <w:t xml:space="preserve">.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עבירות אלה מובילות – ולמצער רב החשש שיובילו – לעבירות נוספות של שימוש בנשק תוך פגיעה בזולת</w:t>
      </w:r>
      <w:r>
        <w:rPr>
          <w:rtl w:val="true"/>
        </w:rPr>
        <w:t xml:space="preserve">, </w:t>
      </w:r>
      <w:r>
        <w:rPr>
          <w:rtl w:val="true"/>
        </w:rPr>
        <w:t>כפי שאכן אירע במקרה שלפנינו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25.2.14</w:t>
      </w:r>
      <w:r>
        <w:rPr>
          <w:rtl w:val="true"/>
        </w:rPr>
        <w:t xml:space="preserve">),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המעשים שבהם הורשע המערער חמורים</w:t>
      </w:r>
      <w:r>
        <w:rPr>
          <w:rtl w:val="true"/>
        </w:rPr>
        <w:t xml:space="preserve">. </w:t>
      </w:r>
      <w:r>
        <w:rPr>
          <w:rtl w:val="true"/>
        </w:rPr>
        <w:t>המערער עשה שימוש באקדח</w:t>
      </w:r>
      <w:r>
        <w:rPr>
          <w:rtl w:val="true"/>
        </w:rPr>
        <w:t xml:space="preserve">, </w:t>
      </w:r>
      <w:r>
        <w:rPr>
          <w:rtl w:val="true"/>
        </w:rPr>
        <w:t>אותו החזיק שלא כדין</w:t>
      </w:r>
      <w:r>
        <w:rPr>
          <w:rtl w:val="true"/>
        </w:rPr>
        <w:t xml:space="preserve">, </w:t>
      </w:r>
      <w:r>
        <w:rPr>
          <w:rtl w:val="true"/>
        </w:rPr>
        <w:t>בלב שכונות מגורים ולאחר שאיים על המתלונן</w:t>
      </w:r>
      <w:r>
        <w:rPr>
          <w:rtl w:val="true"/>
        </w:rPr>
        <w:t xml:space="preserve">. </w:t>
      </w:r>
      <w:r>
        <w:rPr>
          <w:rtl w:val="true"/>
        </w:rPr>
        <w:t>אמנם באירוע הירי לא נגרם נזק אך אין בכך כדי להפחית מחומרת המעשה</w:t>
      </w:r>
      <w:r>
        <w:rPr>
          <w:rtl w:val="true"/>
        </w:rPr>
        <w:t xml:space="preserve">, </w:t>
      </w:r>
      <w:r>
        <w:rPr>
          <w:rtl w:val="true"/>
        </w:rPr>
        <w:t xml:space="preserve">שכן החומרה שבעבירות הנשק מתבטאת גם במה שעלול היה להתרחש </w:t>
      </w:r>
      <w:r>
        <w:rPr>
          <w:rtl w:val="true"/>
        </w:rPr>
        <w:t>(</w:t>
      </w:r>
      <w:hyperlink r:id="rId25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b/>
            <w:bCs/>
            <w:color w:val="0000FF"/>
            <w:u w:val="single"/>
          </w:rPr>
          <w:t>116/13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, [</w:t>
      </w:r>
      <w:r>
        <w:rPr>
          <w:rtl w:val="true"/>
        </w:rPr>
        <w:t>פורסם בנבו</w:t>
      </w:r>
      <w:r>
        <w:rPr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(‏</w:t>
      </w:r>
      <w:r>
        <w:rPr/>
        <w:t>31.7.2013</w:t>
      </w:r>
      <w:r>
        <w:rPr>
          <w:rtl w:val="true"/>
        </w:rPr>
        <w:t xml:space="preserve">)). </w:t>
      </w:r>
      <w:r>
        <w:rPr>
          <w:rtl w:val="true"/>
        </w:rPr>
        <w:t>לא ניתן להשלים עם מצב של ירי באזור מגורים בשל סכסוך אישי או כעס שחש המערער כלפי המתלונן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דברים אלה עולים בקנה אחד עם 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>הנוטה להחמיר בעבירות של החזקת נשק שלא כדין ושימוש בנשק</w:t>
      </w:r>
      <w:r>
        <w:rPr>
          <w:rtl w:val="true"/>
        </w:rPr>
        <w:t xml:space="preserve">, </w:t>
      </w:r>
      <w:r>
        <w:rPr>
          <w:rtl w:val="true"/>
        </w:rPr>
        <w:t>בדרך של ענישה מרתיעה והרחקת מבצע העבירה מן החברה לתקופה מסוימת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.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7528/13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אלאטראש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26.5.14</w:t>
      </w:r>
      <w:r>
        <w:rPr>
          <w:rtl w:val="true"/>
        </w:rPr>
        <w:t xml:space="preserve">),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5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סעיף זה קובע כי מי אשר </w:t>
      </w:r>
      <w:r>
        <w:rPr>
          <w:rtl w:val="true"/>
        </w:rPr>
        <w:t>"</w:t>
      </w:r>
      <w:r>
        <w:rPr>
          <w:rtl w:val="true"/>
        </w:rPr>
        <w:t>מנסה שלא כדין לפגוע באדם בקליע</w:t>
      </w:r>
      <w:r>
        <w:rPr>
          <w:rtl w:val="true"/>
        </w:rPr>
        <w:t xml:space="preserve">, </w:t>
      </w:r>
      <w:r>
        <w:rPr>
          <w:rtl w:val="true"/>
        </w:rPr>
        <w:t>בסכין או בנשק מסוכן או פוגעני אחר</w:t>
      </w:r>
      <w:r>
        <w:rPr>
          <w:rtl w:val="true"/>
        </w:rPr>
        <w:t>...</w:t>
      </w:r>
      <w:r>
        <w:rPr>
          <w:rtl w:val="true"/>
        </w:rPr>
        <w:t>דינו – מאסר עשרים שנים</w:t>
      </w:r>
      <w:r>
        <w:rPr>
          <w:rtl w:val="true"/>
        </w:rPr>
        <w:t xml:space="preserve">". </w:t>
      </w:r>
      <w:r>
        <w:rPr>
          <w:rtl w:val="true"/>
        </w:rPr>
        <w:t xml:space="preserve">להבדיל מעבירת ניסיון רגילה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r>
        <w:rPr>
          <w:rFonts w:ascii="Times New Roman" w:hAnsi="Times New Roman" w:cs="Times New Roman"/>
          <w:color w:val="000000"/>
          <w:rtl w:val="true"/>
        </w:rPr>
        <w:t xml:space="preserve">סעיף </w:t>
      </w:r>
      <w:r>
        <w:rPr>
          <w:rFonts w:cs="Times New Roman" w:ascii="Times New Roman" w:hAnsi="Times New Roman"/>
          <w:color w:val="000000"/>
        </w:rPr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שהיא אינה ביצוע מושלם של היסוד העובדתי של עבירה פלונית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color w:val="000000"/>
          <w:rtl w:val="true"/>
        </w:rPr>
        <w:t xml:space="preserve">סעיף </w:t>
      </w:r>
      <w:r>
        <w:rPr>
          <w:rFonts w:cs="Times New Roman" w:ascii="Times New Roman" w:hAnsi="Times New Roman"/>
          <w:color w:val="000000"/>
        </w:rPr>
        <w:t>329</w:t>
      </w:r>
      <w:r>
        <w:rPr>
          <w:rFonts w:cs="Times New Roman" w:ascii="Times New Roman" w:hAnsi="Times New Roman"/>
          <w:color w:val="000000"/>
          <w:rtl w:val="true"/>
        </w:rPr>
        <w:t>(</w:t>
      </w:r>
      <w:r>
        <w:rPr>
          <w:rFonts w:ascii="Times New Roman" w:hAnsi="Times New Roman" w:cs="Times New Roman"/>
          <w:color w:val="000000"/>
          <w:rtl w:val="true"/>
        </w:rPr>
        <w:t>א</w:t>
      </w:r>
      <w:r>
        <w:rPr>
          <w:rFonts w:cs="Times New Roman" w:ascii="Times New Roman" w:hAnsi="Times New Roman"/>
          <w:color w:val="000000"/>
          <w:rtl w:val="true"/>
        </w:rPr>
        <w:t>)(</w:t>
      </w:r>
      <w:r>
        <w:rPr>
          <w:rFonts w:cs="Times New Roman" w:ascii="Times New Roman" w:hAnsi="Times New Roman"/>
          <w:color w:val="000000"/>
        </w:rPr>
        <w:t>2</w:t>
      </w:r>
      <w:r>
        <w:rPr>
          <w:rFonts w:cs="Times New Roman" w:ascii="Times New Roman" w:hAnsi="Times New Roman"/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 קובע בעצמו כי עצם הניסיון לפגוע באדם באמצעים המצוינים בסעיף מהווה עבירה מושלמת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ללא צורך בתוצאת פגיעה או בנזק</w:t>
      </w:r>
      <w:r>
        <w:rPr>
          <w:rtl w:val="true"/>
        </w:rPr>
        <w:t xml:space="preserve">. </w:t>
      </w:r>
      <w:r>
        <w:rPr>
          <w:rtl w:val="true"/>
        </w:rPr>
        <w:t xml:space="preserve">העונש המירבי בגין עצם ניסיון זה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שנה – בדומה ליתר הסעיפים הקטנים של הוראת </w:t>
      </w:r>
      <w:r>
        <w:rPr>
          <w:rFonts w:ascii="Times New Roman" w:hAnsi="Times New Roman" w:cs="Times New Roman"/>
          <w:color w:val="000000"/>
          <w:rtl w:val="true"/>
        </w:rPr>
        <w:t xml:space="preserve">סעיף </w:t>
      </w:r>
      <w:r>
        <w:rPr>
          <w:rFonts w:cs="Times New Roman" w:ascii="Times New Roman" w:hAnsi="Times New Roman"/>
          <w:color w:val="000000"/>
        </w:rPr>
        <w:t>329</w:t>
      </w:r>
      <w:r>
        <w:rPr>
          <w:rFonts w:cs="Times New Roman" w:ascii="Times New Roman" w:hAnsi="Times New Roman"/>
          <w:color w:val="000000"/>
          <w:rtl w:val="true"/>
        </w:rPr>
        <w:t xml:space="preserve"> (</w:t>
      </w:r>
      <w:r>
        <w:rPr>
          <w:rFonts w:ascii="Times New Roman" w:hAnsi="Times New Roman" w:cs="Times New Roman"/>
          <w:color w:val="000000"/>
          <w:rtl w:val="true"/>
        </w:rPr>
        <w:t>א</w:t>
      </w:r>
      <w:r>
        <w:rPr>
          <w:rFonts w:cs="Times New Roman" w:ascii="Times New Roman" w:hAnsi="Times New Roman"/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העובדה שהמעשה האסור הוא עצם הניסיון אינה כשלעצמה שיקול מחייב לקולה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3-6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22.01.17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1.12.2017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3454-02-17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פהיד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אנם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5">
    <w:name w:val="צטוט"/>
    <w:basedOn w:val="Normal"/>
    <w:qFormat/>
    <w:pPr>
      <w:spacing w:lineRule="auto" w:line="360"/>
      <w:ind w:hanging="0" w:start="1418" w:end="1418"/>
      <w:jc w:val="both"/>
    </w:pPr>
    <w:rPr>
      <w:rFonts w:ascii="David" w:hAnsi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case/17948201" TargetMode="External"/><Relationship Id="rId20" Type="http://schemas.openxmlformats.org/officeDocument/2006/relationships/hyperlink" Target="http://www.nevo.co.il/case/5724364" TargetMode="External"/><Relationship Id="rId21" Type="http://schemas.openxmlformats.org/officeDocument/2006/relationships/hyperlink" Target="http://www.nevo.co.il/case/5958231" TargetMode="External"/><Relationship Id="rId22" Type="http://schemas.openxmlformats.org/officeDocument/2006/relationships/hyperlink" Target="http://www.nevo.co.il/case/5995135" TargetMode="External"/><Relationship Id="rId23" Type="http://schemas.openxmlformats.org/officeDocument/2006/relationships/hyperlink" Target="http://www.nevo.co.il/case/16980206" TargetMode="External"/><Relationship Id="rId24" Type="http://schemas.openxmlformats.org/officeDocument/2006/relationships/hyperlink" Target="http://www.nevo.co.il/case/8291683" TargetMode="External"/><Relationship Id="rId25" Type="http://schemas.openxmlformats.org/officeDocument/2006/relationships/hyperlink" Target="http://www.nevo.co.il/case/5568354" TargetMode="External"/><Relationship Id="rId26" Type="http://schemas.openxmlformats.org/officeDocument/2006/relationships/hyperlink" Target="http://www.nevo.co.il/case/5878682" TargetMode="External"/><Relationship Id="rId27" Type="http://schemas.openxmlformats.org/officeDocument/2006/relationships/hyperlink" Target="http://www.nevo.co.il/case/8483970" TargetMode="External"/><Relationship Id="rId28" Type="http://schemas.openxmlformats.org/officeDocument/2006/relationships/hyperlink" Target="http://www.nevo.co.il/law/70301/329.a.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2018-05-08T13:16:00Z</dcterms:created>
  <dc:creator> </dc:creator>
  <dc:description/>
  <cp:keywords/>
  <dc:language>en-IL</dc:language>
  <cp:lastModifiedBy>run</cp:lastModifiedBy>
  <dcterms:modified xsi:type="dcterms:W3CDTF">2018-05-08T13:16:00Z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פהיד ג'אנם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17948201;5724364;5958231;5995135;16980206;8291683;5568354;5878682;8483970</vt:lpwstr>
  </property>
  <property fmtid="{D5CDD505-2E9C-101B-9397-08002B2CF9AE}" pid="9" name="CITY">
    <vt:lpwstr>חי'</vt:lpwstr>
  </property>
  <property fmtid="{D5CDD505-2E9C-101B-9397-08002B2CF9AE}" pid="10" name="DATE">
    <vt:lpwstr>20171002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70301/329.a.2:2;144.a;144.b;244;192;040b;040i;40ja</vt:lpwstr>
  </property>
  <property fmtid="{D5CDD505-2E9C-101B-9397-08002B2CF9AE}" pid="15" name="LAWYER">
    <vt:lpwstr>יאיר גוייכמן;אלי סבן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3454</vt:lpwstr>
  </property>
  <property fmtid="{D5CDD505-2E9C-101B-9397-08002B2CF9AE}" pid="22" name="NEWPARTB">
    <vt:lpwstr>02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390020171002</vt:lpwstr>
  </property>
  <property fmtid="{D5CDD505-2E9C-101B-9397-08002B2CF9AE}" pid="34" name="TYPE_N_DATE">
    <vt:lpwstr>39020171002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