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34607-02-12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אופנהיים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 דוד רוזן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ספי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ברא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start="1379"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ind w:hanging="360" w:start="720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אופנהיים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start="720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גורדון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start="720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הוך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לנדשטיין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start="1238"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6"/>
                <w:szCs w:val="36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פתח דבר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10" w:name="ABSTRACT_START"/>
      <w:bookmarkEnd w:id="10"/>
      <w:r>
        <w:rPr>
          <w:rFonts w:ascii="Arial" w:hAnsi="Arial" w:cs="Arial"/>
          <w:sz w:val="26"/>
          <w:sz w:val="26"/>
          <w:szCs w:val="26"/>
          <w:rtl w:val="true"/>
        </w:rPr>
        <w:t>הנאשמים הורשעו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הודאתם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הורשעו בעבירה לפי </w:t>
      </w:r>
      <w:hyperlink r:id="rId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–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הורשע בעבירה לפי </w:t>
      </w:r>
      <w:hyperlink r:id="rId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ביחד עם 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31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–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yellow"/>
        </w:rPr>
      </w:pPr>
      <w:bookmarkStart w:id="11" w:name="ABSTRACT_END"/>
      <w:bookmarkEnd w:id="11"/>
      <w:r>
        <w:rPr>
          <w:rFonts w:eastAsia="Arial" w:cs="Arial" w:ascii="Arial" w:hAnsi="Arial"/>
          <w:sz w:val="26"/>
          <w:szCs w:val="26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עובדות כתב האישום המתוקן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24.11.2010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לשעה </w:t>
      </w:r>
      <w:r>
        <w:rPr>
          <w:rFonts w:cs="Arial" w:ascii="Arial" w:hAnsi="Arial"/>
          <w:sz w:val="26"/>
          <w:szCs w:val="26"/>
        </w:rPr>
        <w:t>23:45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במסעדת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השניצליה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ברחוב ז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בוטינסקי </w:t>
      </w:r>
      <w:r>
        <w:rPr>
          <w:rFonts w:cs="Arial" w:ascii="Arial" w:hAnsi="Arial"/>
          <w:sz w:val="26"/>
          <w:szCs w:val="26"/>
        </w:rPr>
        <w:t>144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בבני ברק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הורה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לקופאי המסעדה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מאיים באקדח דמה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למסור לידיו את תכולת קופת המסעדה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במקביל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דרש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באוחזו בסכין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מאחד הסועדים במסעדה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למסור לו את הכסף שבארנקו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משהתמהמה קופאי המסעדה בפתיחת הקופה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ציוו עליו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לעשות כן מיד ונאשם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איים בירי לעברו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הקופאי טען כי לא ניתן לפתוח את הקופה ובחלוף מספר שניות נמלטו 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מן המקום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סמוך לאחר מכן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חברו 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אשר המתין להם בקרבת מקום ושמר בעבורם על מכשירי הטלפונים שלהם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וזאת על פי סיכום מוקדם עמם ובידיעה מוקדמת כי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יפעלו כפי שתואר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הסדר הטיעון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הסדר הטיעון אליו הגיעו באי כח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הודו הנאשמים והורשעו בעבירות אשר יוחסו להם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נשלחו לשירות המבחן לצורך עריכת תסקיר בעניינם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</w:rPr>
      </w:pPr>
      <w:r>
        <w:rPr>
          <w:rFonts w:cs="Arial" w:ascii="Arial" w:hAnsi="Arial"/>
          <w:sz w:val="26"/>
          <w:szCs w:val="26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טיעוני המאשימה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  <w:u w:val="single"/>
        </w:rPr>
      </w:pPr>
      <w:r>
        <w:rPr>
          <w:rFonts w:cs="Arial" w:ascii="Arial" w:hAnsi="Arial"/>
          <w:sz w:val="26"/>
          <w:szCs w:val="26"/>
          <w:highlight w:val="gree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התובעת המלומדת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ספי ברא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ציינה בטיעוניה לעונש חומרת מעשיהם של הנאשמים אשר גובלים בעבירת שוד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הילכו אימים על עובדי ובאי המסעדה על מנת לגזול את ממונם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עשו שימוש באקדח שאמנם היה אקדח דמה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הוא נחזה כאמיתי 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בסכין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נכח במסעדה בעת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לקח חלק בתכנון המעשה וסייע להם לבצעו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התובעת ציינה כי מסכת עובדתית זו בקלות יכלה לקבל נופך אחר ולהסתיים בטרגדיה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נעדרי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התובעת המלומדת ציינה כי הודאתו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הינה מן הפה אל החוץ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ניכר כי הוא מתקשה בהבנת הפסול שבמעשיו ובהפנמת חומרתם והשלכותיהם של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המלצת שירות המבחן בעניינו אינה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לדידה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בקנה אחד עם התרשמות שירות המבחן בדבר דרכי התמודדותו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אישיות קשות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סובל מבעיות נפשיות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מטופל בתרופות פסיכיאטריות ובהתאם להערכת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מצבו הנפשי בעת ביצוע העבירה תרם לביצועה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אמנם בסיוע לעבירה ולא בביצוע בצוותא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מהתרשמות שירות המבחן עולה כי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אינו נוטל אחריות על מעשיו ומצמצם מעורבותו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שיתף פעולה עם שירות המבחן ולא הגיע לפגישה שנקבעה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נראה כי אינו בשל להליך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ציינה כי שירות המבחן העריך מסוכנותו כבינונית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התובעת המלומדת ביקשה כי תינתן בכורה לאינטרס הציבורי על פני נסיבותיהם האישיות של הנאשמים ועתרה להשית על הנאשמים את העונשים הבאים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-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בפועל לתקופה של כשנה וחצי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על תנאי ופיצוי למתלוננים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–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בפועל לתקופה של עד כשנה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על תנאי ופיצוי למתלוננים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בפועל לתקופה של כשנה עד שנה וחצי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על תנאי ופיצוי למתלוננים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התובעת המלומדת תמכה עתירה בפסיקה שיצאה מלפני בתי המשפט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  <w:u w:val="single"/>
        </w:rPr>
      </w:pPr>
      <w:r>
        <w:rPr>
          <w:rFonts w:cs="Arial" w:ascii="Arial" w:hAnsi="Arial"/>
          <w:sz w:val="26"/>
          <w:szCs w:val="26"/>
          <w:highlight w:val="gree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טיעוני ההגנה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  <w:u w:val="single"/>
        </w:rPr>
      </w:pPr>
      <w:r>
        <w:rPr>
          <w:rFonts w:cs="Arial" w:ascii="Arial" w:hAnsi="Arial"/>
          <w:sz w:val="26"/>
          <w:szCs w:val="26"/>
          <w:highlight w:val="gree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סנגוריהם המלומד של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אברהם לנדשטיין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 בטיעוניו לעונש את נסיבותיהם האישיות המיוחדות של הנאשמים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בנים למשפחות חרדיות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נטשו את דרך אבותיהם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חזרו בשאלה ולא התקבלו על ידי משפחותיהם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בקשר עם משפחותיהם ונאשם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מקיים קשרים חלקיים עם אביו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המלומד ציין כי חוב שחב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לחברת אורנג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הוא זה אשר עמד בבסיס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חשבו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בצורה ילדותית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בדרך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יפתרו את הבעיה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המלומד ציין כי לא נעשה שימוש בנשק אמיתי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זה אשר היה בחזקת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בשל שירותו הצבאי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הדגיש כי לאחר שהקופאי אמר לנאשמים שלא ימסור להם כסף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עזבו הנאשמים את המקום ולא עשו דבר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הוא מקל ראש בחומרת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התנהגותם מלמדת כי אין הדרך העבריינית חלק מאורחות חייהם וכי לא ישובו לבצע 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בן למשפחה חרדית המשתייכת לחסידות 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אביו שוחט העובד בעיקר בחו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שירת שירות סדיר מלא כלוחם גדס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ר גבעתי ומשרת במילואים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המלומד סיפר כי משפחתו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קיבלה את הדרך בה בחר וכי בחופשותיו מן הצבא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היה חוזר לביתו ולעיתים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התנדב להישאר בבסיס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המלומד הפנה לתסקיר שירות המבחן מיום </w:t>
      </w:r>
      <w:r>
        <w:rPr>
          <w:rFonts w:cs="Arial" w:ascii="Arial" w:hAnsi="Arial"/>
          <w:sz w:val="26"/>
          <w:szCs w:val="26"/>
        </w:rPr>
        <w:t>15.10.2012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צוין כי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הביע צער על הפגיעה במתלוננים וניכר כי המעצר וההליך המשפטי מהווים גורמים מטלטלים עבורו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כיום עובד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במאפיה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המלומד עתר לאמץ את המלצת שירות המבחן ולהשית על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 מבחן למשך שנה 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שילובו בטיפול במסגרת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 הסנגור המלומד כי אם יוטל עליו 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יאבד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 מקום עבודתו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בן למשפחה חרדית המשתייכת גם היא לחסידות 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אביו משגיח על אפיית מצות לחג הפסח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בדומה לאמו ולאחיו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מטופל בתרופות פסיכיאטריות מגוונות ומנסה להתמודד עם מחלתו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המלומד ציין כי שירות המבחן התרשם כי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יתקשה לבצע 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מצבו הנפשי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עתר הסנגור המלומד לאמץ את המלצת שירות המבחן ולהשית על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עונש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 מבחן למשך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חתימה על התחייבות כספית ופיצוי כספי למתלוננים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בן למשפחה חרדית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אביו מנהל חברה קדישא בחולון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המלומד התייחס לתסקיר שירות המבחן בעניינו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חלקו בפרשה מינורי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עובד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בחנות צעצועים שפתח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המלומד תמך עתירותיו בפסיקה שיצאה מלפני בתי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מר רפאל דן לסרי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תלמיד ישיבה בבאר שבע פנה במכתב לבית המשפט ובו ציין כי מכיר את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מתקופת השירות הצבאי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תיאר אותו כאדם טוב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עדין וביישן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ערכי חסד וכבוד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רגיש לאחרים ומהווה דוגמה אישית ליחסים בין אדם לחברו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שם את חבריו ומחויבותו למדינה בראש מעייניו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תומך ומסייע בעת צרה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גדל בחסידות גור בבני ברק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במשפחה מרובת ילדים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התרחקותו מן העולם החרדי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התגייס לצה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ובמשך תקופת זמן ארוכה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קיים כלל קשר עם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בתקופת שירותו הצבאי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במשך יותר משנה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התגורר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ברחוב או אצל חברים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שהוכר על ידי הצבא כחייל בודד חריג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אינו בחור רגיל שהתדרדר מוסרית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חי במציאות קשה ומנוכרת</w:t>
      </w:r>
      <w:r>
        <w:rPr>
          <w:rFonts w:cs="Arial" w:ascii="Arial" w:hAnsi="Arial"/>
          <w:sz w:val="26"/>
          <w:szCs w:val="26"/>
          <w:rtl w:val="true"/>
        </w:rPr>
        <w:t>, "</w:t>
      </w:r>
      <w:r>
        <w:rPr>
          <w:rFonts w:ascii="Arial" w:hAnsi="Arial" w:cs="Arial"/>
          <w:sz w:val="26"/>
          <w:sz w:val="26"/>
          <w:szCs w:val="26"/>
          <w:rtl w:val="true"/>
        </w:rPr>
        <w:t>בין שני עולמות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סובל מקשיי הסתגלות וקונפליקטים רבים מעברו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טרם עיכל את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החיים החילוניים החופשיים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על הסכנות הכרוכות בהם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החברה היחידה שהייתה מוכנה לקבלו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היא חברת הנפלטים מן החברה החרדית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חברת שוליים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תמים מטבעו</w:t>
      </w:r>
      <w:r>
        <w:rPr>
          <w:rFonts w:cs="Arial" w:ascii="Arial" w:hAnsi="Arial"/>
          <w:sz w:val="26"/>
          <w:szCs w:val="26"/>
          <w:rtl w:val="true"/>
        </w:rPr>
        <w:t>, "</w:t>
      </w:r>
      <w:r>
        <w:rPr>
          <w:rFonts w:ascii="Arial" w:hAnsi="Arial" w:cs="Arial"/>
          <w:sz w:val="26"/>
          <w:sz w:val="26"/>
          <w:szCs w:val="26"/>
          <w:rtl w:val="true"/>
        </w:rPr>
        <w:t>ילד ללא הדרכה בעולם שהוא לא מכיר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לא לימדוהו מהו פשע ולא ידע ממה יש להישמר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משתקם מיום ליום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מוסריותו ומידותיו יוצאי דופן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מבקש להתחשב בנסיבותיו ולא להשימו תחת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מר אלון רכלס מכיר את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מתקופת שירותו הצבאי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פנה במכתב לבית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מר רכלס ציין כי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הגיע לשירות הצבאי עם ידיעה מעטה על העולם החיצוני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כי שאל שאלות רבות וניסה ללמוד דברים רבים מהסובבים 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משפחתו של הנאשם לא תמכה בו לאחר חזרתו בשאלה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עוד הדגיש כי כל הקשיים הללו לא מנעו מן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להתגייס ליחידה קרבית מובחרת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דורשת יכולות פיזיות ומנטליות רבות וסיים את המסלול בהצלחה ובכבוד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מר רכלס תיאר את כחבר אמיתי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נאמן ואוהב אשר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הולך איתך באש ובמים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פעמים רבות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התנדב להישאר בבסיס בשבתות ובחגים על מנת שיתר אנשי הצוות יוכלו לצאת לחופשה בביתם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מר רכלס ביקש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בשם כל צוות יחידתם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בית המשפט יתחשב בנסיבותיו האישיות הקשות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וכי תינתן לו הזדמנות שנייה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אינו עבריין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עולמו איננו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עולם של פשע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אם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עולם של אדם בעל לב טהור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מר מני עמראן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סטודנט לרפואה ובוגר תואר מדעי הרפואה מן הטכניון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תיאר במכתבו לבית המשפט את היכרותו האינטנסיבית עם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לאורך שירותם הצבאי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אדם רציני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יוזם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פטריוט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מוטיבציה גבוהה אשר ניתן לסמוך עליו ברגעים הקשים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ציין כי בחירתו של הנאשם לשרת כלוחם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למרות הרקע החרדי ממנו הגיע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מלמדת רבות על אישיותו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שנתו הראשונה לשירות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 הנאשם תהליך לא פשוט של חזרה בשאלה אשר במהלכו גיבש את זהותו העצמית ואישיותו כאדם וכאזרח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מדובר בתהליך טריוויאלי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מעשיו של הנאשם חמורים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יש לבחון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לאור נסיבותיו האישיות וקשייו של הנאשם באותה 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מר עמראן ציין כי הוא סמוך ובטוח שהנאשם למד לקחו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מר שלמה שורץ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מפקדו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 שירותו הצבאי סיפר במכתבו לבית המשפט כי הנאשם החליט להתגייס לצה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ולהתנדב ליחידה מובחרת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למרות שלא זכה לתמיכה מסביבתו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 כי למרות קשייו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הנאשם חייל מן המניין אשר לא דרש קבלת יחס אחר כלפיו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ממושמע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השתדל לתרום מעבר לנדרש ממנו והיה קשוב לצרכי חבריו ופתוח לקבלת ביקורת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במספר שיחות שקיים עם הנאשם לאחר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זה בפניו חרטה עמוקה וכנה וניכר כי הוא מבין את חומרת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מר שורץ הביע ביטחון כי הנאשם ינהל את חייו באופן נורמטיבי וייטיב עם הזולת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ביקש מבית המשפט להתחשב בנסיבותיו האישיות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באופיו המיוחד ובתרומתו לצה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ולמדינה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הוצגו תעודת הסמכת לוחם ותעודת הערכה מצה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על שם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</w:rPr>
      </w:pPr>
      <w:r>
        <w:rPr>
          <w:rFonts w:cs="Arial" w:ascii="Arial" w:hAnsi="Arial"/>
          <w:sz w:val="26"/>
          <w:szCs w:val="26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שירות המבחן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  <w:u w:val="single"/>
        </w:rPr>
      </w:pPr>
      <w:r>
        <w:rPr>
          <w:rFonts w:cs="Arial" w:ascii="Arial" w:hAnsi="Arial"/>
          <w:sz w:val="26"/>
          <w:szCs w:val="26"/>
          <w:highlight w:val="gree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Arial" w:ascii="Arial" w:hAnsi="Arial"/>
          <w:sz w:val="26"/>
          <w:szCs w:val="26"/>
        </w:rPr>
        <w:t>15.10.2012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מגולל קורות חייו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למשפחה חרדית מבני ברק המונה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נפשות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אביו כבן </w:t>
      </w:r>
      <w:r>
        <w:rPr>
          <w:rFonts w:cs="Arial" w:ascii="Arial" w:hAnsi="Arial"/>
          <w:sz w:val="26"/>
          <w:szCs w:val="26"/>
        </w:rPr>
        <w:t>58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עובד כמשגיח כשרות בהונגריה ושוהה לסירוגין בארץ ובחו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אמו כבת </w:t>
      </w:r>
      <w:r>
        <w:rPr>
          <w:rFonts w:cs="Arial" w:ascii="Arial" w:hAnsi="Arial"/>
          <w:sz w:val="26"/>
          <w:szCs w:val="26"/>
        </w:rPr>
        <w:t>56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עקרת 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גדל בתנאי מחייה מוגבלים ומערכת יחסיו עם הוריו מורכבת ומרוחקת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למד במסגרת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תלמוד תורה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ובהמשך בישיבה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מגיל 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גילה קשיי התנהגות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מאבחון שעבר עלה כי סובל מהיפראקטיביות וקשיי קשב וריכוז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טופל תרופתית בשל 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מגיל 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ספקות באשר לאמונתו הדתית וסבל מקשיים רגשיים ותחושת חוסר שייכות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בגיל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עזב את לימודיו בישיבה ומאז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השתלב במסגרת חינוך פורמאלית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התגייס לצבא ושירת תחילה כלוחם ביחידה קרבית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ביצע העבירה במהלך חופשה שקיבל ממפקדיו לצורך עבודה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ששוחרר ממעצר וממעצר הבית בהם היה נתון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 ליחידה בה שירת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לא כלוחם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סיום שירותו הצבאי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עבד במשך מספר 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לאור תחושת בלבול וקושי בגיוס כוחות מצדו לתפקוד תקין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מזה כ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עובד כמוכר בחנות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שירות המבחן ציין כי הנאשם ביצע העבירה כשהיה נתון במצוקה כלכלית קשה ובמצב נפשי ירוד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תיאר השתלשלות עניינים מהירה וחוסר הפעלת שיקול דעת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בעת ביצועה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ציין כי הנאשם ביטא צער על הפגיעה במתלוננים וניכר כי המעצר וההליך המשפטי מהווים גורמים מטלטלים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מרתיעים ומציבי גבול עבורו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שילובו של הנאשם בטיפול יקטין הסיכון לביצוע עבירות דומות 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המליץ להשית על הנאשם עונש מאסר מותנה וצו מבחן למשך שנה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  <w:u w:val="single"/>
        </w:rPr>
      </w:pPr>
      <w:r>
        <w:rPr>
          <w:rFonts w:cs="Arial" w:ascii="Arial" w:hAnsi="Arial"/>
          <w:sz w:val="26"/>
          <w:szCs w:val="26"/>
          <w:highlight w:val="gree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Arial" w:ascii="Arial" w:hAnsi="Arial"/>
          <w:sz w:val="26"/>
          <w:szCs w:val="26"/>
        </w:rPr>
        <w:t>07.02.2013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מתאר את התרשמות חבריו ומפקדיו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אשר תיארוהו כחייל ממושמע אשר תרם רבות במהלך שירותו ביחידה קרבית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ביצוע העבירה מאפיין את התנהלותו במסגרת הצבאית ונראה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לדידם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התרחשה כביטוי לקונפליקטים ולקשיים בהם היה נתון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גוייס בצו חירום במהלך מבצע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עמוד ענן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עובד כעת במאפיה ומתעתד לעבור לגור בשכירות עם חברים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שירות המבחן שב על התרשמותו והמלצתו מתסקירו מיום </w:t>
      </w:r>
      <w:r>
        <w:rPr>
          <w:rFonts w:cs="Arial" w:ascii="Arial" w:hAnsi="Arial"/>
          <w:sz w:val="26"/>
          <w:szCs w:val="26"/>
        </w:rPr>
        <w:t>15.10.2012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Arial" w:ascii="Arial" w:hAnsi="Arial"/>
          <w:sz w:val="26"/>
          <w:szCs w:val="26"/>
        </w:rPr>
        <w:t>16.10.2012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מגולל קורות חייו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בן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אינו עובד ומתקיים מקצבת נכות מהמוסד לביטוח לאומי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למשפחה חרדית בת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נפשות המשתייכת לחסידות גור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אביו עובד כמשגיח כשרות ואמו עקרת 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סובל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מגיל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ממצב דיכאוני מתמשך 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אובחן כחולה במאניה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דיפרסיה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נוטל טיפול תרופתי פסיכיאטרי באופן קבוע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אמו ואחיו סובלים גם הם מבעיות נפשיות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מצעיר אינטליגנטי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רגיש ומופנם הסובל מקשיים רגשיים ונפשיים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התרחק מן הדת ושב אליה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לסירוגין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חווה תחושות בדידות וניכור ממשפחתו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בעקבות חזרתו בשאלה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גיל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למד בישיבה בבני ברק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התקשה להתמיד בלימודיו ולהיענות לדרישות המסגרת ובגיל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נשלח על ידי הוריו לישיבה בלונדון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כשנה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 ארצה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עזב את המסגרת הדתית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התחבר לחברה שולית והתנתק ממשפחתו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נטל אחריות מלאה על חלקו בביצוע העבירה נשוא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ביטא צער וחרטה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באותה 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נתון בנתק ממושך מהוריו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התגורר בדירה שכורה עם חברים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התקשה לעבוד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נתון בבלבול ומצוקה מתמשכים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הפסיק לנטול טיפול תרופתי והיה נתון במצב אשר הקשה עליו בבחינת המציאות והשליטה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מצבו הנפשי המעורער באותה עת ועיוות המציאות תרמו לביצוע העבירה על ידו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Arial" w:ascii="Arial" w:hAnsi="Arial"/>
          <w:sz w:val="26"/>
          <w:szCs w:val="26"/>
        </w:rPr>
        <w:t>19.02.2013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מתאר את השתלבותו הראשונית של 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במרפאה לבריאות הנפש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כלנית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באשדוד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המליץ כי במסגרת שיקולי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ינתן משקל ניכר לפאן השיקומי והטיפולי ויושת על הנאשם עונש מאסר מותנה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 מבחן למשך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המשך טיפול במרפאה לבריאות הנפש באשדוד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חתימה על התחייבות כספית להימנע מביצוע עבירה דומה בעתיד ופיצוי כספי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ציין כי לא המליץ על השתת 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 לנוכח מצבו הנפשי וקשייו התפקודיים של הנאשם אשר יקשו עליו לעמוד בהצלחה בביצוע עונש מסוג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Arial" w:ascii="Arial" w:hAnsi="Arial"/>
          <w:sz w:val="26"/>
          <w:szCs w:val="26"/>
        </w:rPr>
        <w:t>03.10.2012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מגולל קורות חייו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עובד בקיוסק מזה כשנה ומתגורר בשכירות עם חברים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למשפחה חרדית בת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נפשות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הוריו ילידי רוסיה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אביו מנהל בחברה קדישא ואמו גמלאית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עבדה עד לפני כשנה בשירות המטאורולוגי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גיל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למד בישיבות תורניות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התקשה לעמוד בדרישות אורח החיים החרדי והופנה לפנימייה טיפולית המיועדת לנערים במצבו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כשנה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בגיל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נפלט מן הפנימייה והחל בגיל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תהליך של חזרה בשאלה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מנהל אורח חיים חילוני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משפחתו התקשתה לקבל בחירתו והקשר עמה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הינו רופף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הם מסייעים לו במהלך ההליך המשפטי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יחסו של הנאשם כלפי ביצוע העבירה הינו מטשטש ומפחית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בעת ביצועה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הנאשם שרוי תחת השפעת אלכוהול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פעל ללא תכנון מוקדם ובאופן אימפולסיבי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הנאשם מגלה מודעות נמוכה להתנהגותו ולנזק שהסב לסביבה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להערכת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ייתכן וקונפליקט נאמנויות כלפי חבריו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מקשה עליו לשתף באופן נרחב 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מעריך את רמת המסוכנות הנשקפת מן הנאשם כרמת סיכון בינונית ומידת החומרה הצפויה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באם יהא הנאשם מעורב במעשה אלים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צפויה להיות נמוכה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בתסקיר שירות המבחן מיום </w:t>
      </w:r>
      <w:r>
        <w:rPr>
          <w:rFonts w:cs="Arial" w:ascii="Arial" w:hAnsi="Arial"/>
          <w:sz w:val="26"/>
          <w:szCs w:val="26"/>
        </w:rPr>
        <w:t>04.02.2013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נמנע שירות המבחן מהמלצה בעניינו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highlight w:val="green"/>
        </w:rPr>
      </w:pPr>
      <w:r>
        <w:rPr>
          <w:rFonts w:cs="Arial" w:ascii="Arial" w:hAnsi="Arial"/>
          <w:sz w:val="26"/>
          <w:szCs w:val="26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דיון</w:t>
      </w:r>
      <w:r>
        <w:rPr>
          <w:rFonts w:cs="Arial" w:ascii="Arial" w:hAnsi="Arial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הנאשמים הורשעו בעבירות חמורות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יש ממש בטענת התובעת המלומדת שראוי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בית המשפט לגזור עונשי מאסר משמעותיים על נאשמים שהורשעו בעבירות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מעשים כמו אלה שביצעו הנאשמים פוגעים בהתנהלות חיי עסקים ולא פחות חשוב בביטחון הציבור העושה במסגרת חייו ונקלע שלא מרצונו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לפתע פתאום לאירוע פלילי אלים העלול לסכן חייו ושלמות גופו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בנאשמים שעברם נקי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ביצעו העבירות החמורות בהן הורשעו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שימוש כלשהו באלימות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יתרה מזאת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משהמתלוננים מיאנו לדרישתם למסור להם מרכושם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נמלטו הנאשמים ממקום ביצוע העבירה בלי לגרום כל נזק נוסף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הודו בעבירות בהן הואשמו כשהם נוטלים מלוא האחריות על שכמם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מדובר בנאשמים צעירים בגילם שנטשו מסגרת חייהם הקודמת וחזרו בשאלה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התגייס לצבא בניגוד גמור לחינוך שספג בבית הוריו ולכלל הערכים בהם חונך במסגרת הדתית הנוקשה אליה השתייך עד חזרתו בשאלה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התנדב ליחידת עילית ושירת ביחידה זו בהצלחה רבה ומילא חובתו למדינה בצורה טובה מאוד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חבריו ומפקדיו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העלו על נס את תרומתו ליחידה והשתלבותו בה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 מדובר בנתון של מה בכך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התגייס ליחידת עילית ושירת שירות קשה ומפרך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תמיכה אוהדת של משפחתו וסביבתו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אדרבא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דרכו החדשה התנגשה עם השקפת עולם ששימשה לו מצע ערכי לאורך ילדותו ובגרותו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שירותו הצבאי המסור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נאלץ הנאשם להתמודד עם קשיי השירות ביחידת עילית ובמקביל להתמודד עם התנכרות משפחתית ועולם מלא ושלם אליו השתייך עד זמן קצר טרם גיוסו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עמד בקשיים הפיזיים והחברתיים ויכל להם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מן הדין כי שירותו המסור של הנאשם ותרומתו למדינה יזקפו לטובתו בשקילת עונשו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לומר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בסיס אורחותיו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שנצטיירו בבית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מעידתו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הינה ראשונה ובסבירות גבוהה אחרונה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בצעיר שביצע עבירה מכוערת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אבל למד את לקחו ונראה כי בעתיד לא יחזור לסורו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חשיבות שיקום נאשמים עמד לא פעם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ולאחרונה ב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5291/12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12.11.2012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1080"/>
        <w:jc w:val="both"/>
        <w:rPr>
          <w:b/>
          <w:bCs/>
          <w:i/>
          <w:i/>
          <w:iCs/>
          <w:spacing w:val="10"/>
          <w:sz w:val="26"/>
          <w:szCs w:val="26"/>
        </w:rPr>
      </w:pPr>
      <w:r>
        <w:rPr>
          <w:b/>
          <w:bCs/>
          <w:i/>
          <w:iCs/>
          <w:spacing w:val="10"/>
          <w:sz w:val="26"/>
          <w:szCs w:val="26"/>
          <w:rtl w:val="true"/>
        </w:rPr>
        <w:tab/>
        <w:t>"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אכן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אסור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לאדם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המוגנים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שזכו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להגנה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מיוחדת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בחסות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הפלילי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החוטא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לערכים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אלה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מצופה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לשלם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חובו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לחברה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ולשאת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שקבעה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מעשיו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יחד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זאת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איננו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נקמנית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שכל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חפצה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להעניש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חבריה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סטו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מדרך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הישר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אך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הענישה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בחברה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שפועלת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לקדם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ביטחונם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האישי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חבריה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היתר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במנגנון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ככלי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להרתעה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אינדיבידואלית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וקולקטיבית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ולצד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פועלים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לשיקום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החוטאים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לשלבם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בחזרה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כחברים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תורמים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שמסייעים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לקידומה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לבכר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ערך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רעהו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ודרך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נבחן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לגופו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ובמקרה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שלפנינו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ראינו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להקריב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ההתקדמות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המרשימה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למען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הצמדות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למבחן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ההלימה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ולשיקולי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ההרתעה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pacing w:val="10"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והשוו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pacing w:val="10"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pacing w:val="10"/>
            <w:sz w:val="26"/>
            <w:szCs w:val="26"/>
          </w:rPr>
          <w:t>4041/06</w:t>
        </w:r>
      </w:hyperlink>
      <w:r>
        <w:rPr>
          <w:b/>
          <w:bCs/>
          <w:i/>
          <w:i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אשורוב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pacing w:val="10"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  <w:rtl w:val="true"/>
        </w:rPr>
        <w:t>[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בנבו</w:t>
      </w:r>
      <w:r>
        <w:rPr>
          <w:b/>
          <w:bCs/>
          <w:i/>
          <w:iCs/>
          <w:sz w:val="26"/>
          <w:szCs w:val="26"/>
          <w:rtl w:val="true"/>
        </w:rPr>
        <w:t>]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Cs/>
          <w:i/>
          <w:iCs/>
          <w:spacing w:val="10"/>
          <w:sz w:val="26"/>
          <w:szCs w:val="26"/>
        </w:rPr>
        <w:t>16.11.2006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pacing w:val="10"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pacing w:val="10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pacing w:val="10"/>
            <w:sz w:val="26"/>
            <w:szCs w:val="26"/>
          </w:rPr>
          <w:t>8092/04</w:t>
        </w:r>
      </w:hyperlink>
      <w:r>
        <w:rPr>
          <w:b/>
          <w:bCs/>
          <w:i/>
          <w:i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חביב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pacing w:val="10"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  <w:rtl w:val="true"/>
        </w:rPr>
        <w:t>[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בנבו</w:t>
      </w:r>
      <w:r>
        <w:rPr>
          <w:b/>
          <w:bCs/>
          <w:i/>
          <w:iCs/>
          <w:sz w:val="26"/>
          <w:szCs w:val="26"/>
          <w:rtl w:val="true"/>
        </w:rPr>
        <w:t>]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Cs/>
          <w:i/>
          <w:iCs/>
          <w:spacing w:val="10"/>
          <w:sz w:val="26"/>
          <w:szCs w:val="26"/>
        </w:rPr>
        <w:t>106.2009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)).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לדידנו</w:t>
      </w:r>
      <w:r>
        <w:rPr>
          <w:b/>
          <w:bCs/>
          <w:i/>
          <w:i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זהו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המקרים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הנדירים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להתערב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שקבע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יסוכלו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מאמצי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השיקום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pacing w:val="10"/>
          <w:sz w:val="26"/>
          <w:sz w:val="26"/>
          <w:szCs w:val="26"/>
          <w:rtl w:val="true"/>
        </w:rPr>
        <w:t>המערער</w:t>
      </w:r>
      <w:r>
        <w:rPr>
          <w:b/>
          <w:bCs/>
          <w:i/>
          <w:iCs/>
          <w:spacing w:val="10"/>
          <w:sz w:val="26"/>
          <w:szCs w:val="26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pacing w:val="10"/>
          <w:sz w:val="26"/>
          <w:szCs w:val="26"/>
          <w:highlight w:val="green"/>
        </w:rPr>
      </w:pPr>
      <w:r>
        <w:rPr>
          <w:b/>
          <w:bCs/>
          <w:i/>
          <w:iCs/>
          <w:spacing w:val="10"/>
          <w:sz w:val="26"/>
          <w:szCs w:val="26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משאלה הדברים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הגעתי לכלל מסקנה כי ראוי הנאשם להתחשבות ולעידוד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המתון שבכוונתי לגזור על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משליך על עניינו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סובל מבעיות נפשיות לא קלות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אינו בריא בנפשו ונראה כי מצבו הנפשי אינו מנותק מהגורמים שהובילו אותו להצטרף לנאשמים בביצוע המעשה הנלוז שביצעו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עברו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נקי וללא רבב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נטל אחריות מלאה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צערו ותסקיר שירות המבחן מעיד בעדו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חלקו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קטן לאין שיעור מחלקם של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הורשע בסיוע לביצוע העבירה אותה ביצעו 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סוף 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ששקלתי מכלול השיקולים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מחד גיסא חומרת העבירות ומאידך גיסא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כלל השיקולים והנתונים אשר הוצגו בפניי על ידי פרקליטם המלומד של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ביקשתי לאזן בין השיקולים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קודם גזירת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אבקש מהממונה על עבודות השירות ליתן המלצתו לעניין התאמתם של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לביצוע עונש מאסר בדרך של 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שטוחה בקשה בפני הממונה לעשות כל אשר לאל ידו ולהמליץ בחיוב על שילובו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גם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בעבודות שירות חרף מצבו הנפשי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יופנו על ידי מזכירות בית המשפט לממונה על עבודות השירות לשם בחינת אפשרות ביצוע עונש המאסר בדרך של 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לנוחות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טל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הממונה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cs="Arial" w:ascii="Arial" w:hAnsi="Arial"/>
          <w:sz w:val="26"/>
          <w:szCs w:val="26"/>
        </w:rPr>
        <w:t>08-9776362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כתובת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רחוב חגי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בני ברק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כתובת 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רחוב הרותם </w:t>
      </w:r>
      <w:r>
        <w:rPr>
          <w:rFonts w:cs="Arial" w:ascii="Arial" w:hAnsi="Arial"/>
          <w:sz w:val="26"/>
          <w:szCs w:val="26"/>
        </w:rPr>
        <w:t>41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אשדוד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הדיון בעניינ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ם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 של הנאשמים </w:t>
      </w:r>
      <w:r>
        <w:rPr>
          <w:rFonts w:cs="Arial" w:ascii="Arial" w:hAnsi="Arial"/>
          <w:sz w:val="26"/>
          <w:szCs w:val="26"/>
          <w:u w:val="single"/>
        </w:rPr>
        <w:t>1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ו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- </w:t>
      </w:r>
      <w:r>
        <w:rPr>
          <w:rFonts w:cs="Arial" w:ascii="Arial" w:hAnsi="Arial"/>
          <w:sz w:val="26"/>
          <w:szCs w:val="26"/>
          <w:u w:val="single"/>
        </w:rPr>
        <w:t>2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יתחדש בפני ביום </w:t>
      </w:r>
      <w:r>
        <w:rPr>
          <w:rFonts w:cs="Arial" w:ascii="Arial" w:hAnsi="Arial"/>
          <w:sz w:val="26"/>
          <w:szCs w:val="26"/>
          <w:u w:val="single"/>
        </w:rPr>
        <w:t>08.05.2013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שעה </w:t>
      </w:r>
      <w:r>
        <w:rPr>
          <w:rFonts w:cs="Arial" w:ascii="Arial" w:hAnsi="Arial"/>
          <w:sz w:val="26"/>
          <w:szCs w:val="26"/>
          <w:u w:val="single"/>
        </w:rPr>
        <w:t>08:30</w:t>
      </w:r>
      <w:r>
        <w:rPr>
          <w:rFonts w:cs="Arial" w:ascii="Arial" w:hAnsi="Arial"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הממונה על עבודות שירות יגיש חוות דעתו בנוגע לכל אחד מן הנאשמים הללו עד למועד הדיון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יתייצבו לדיון ולא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ייעצרו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גוזר על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-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שלא יעבור במשך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עבירה של אלימות פיזית כלפי גוף אדם 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sz w:val="26"/>
            <w:szCs w:val="26"/>
          </w:rPr>
          <w:t>384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16">
        <w:r>
          <w:rPr>
            <w:rStyle w:val="Hyperlink"/>
            <w:rFonts w:cs="Arial" w:ascii="Arial" w:hAnsi="Arial"/>
            <w:sz w:val="26"/>
            <w:szCs w:val="26"/>
          </w:rPr>
          <w:t>402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hyperlink r:id="rId17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מטיל על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כספי בסך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150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 מאסר תמורתו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הקנס ישולם ב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תשלומים חודשיים רצופים ושווים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מיום </w:t>
      </w:r>
      <w:r>
        <w:rPr>
          <w:rFonts w:cs="Arial" w:ascii="Arial" w:hAnsi="Arial"/>
          <w:sz w:val="26"/>
          <w:szCs w:val="26"/>
        </w:rPr>
        <w:t>06.04.2013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לנאשם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בניסן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דוד רוזן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34607-02-12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דב אופנהיים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402" TargetMode="External"/><Relationship Id="rId6" Type="http://schemas.openxmlformats.org/officeDocument/2006/relationships/hyperlink" Target="http://www.nevo.co.il/law/70301/404" TargetMode="External"/><Relationship Id="rId7" Type="http://schemas.openxmlformats.org/officeDocument/2006/relationships/hyperlink" Target="http://www.nevo.co.il/law/70301/40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4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89993" TargetMode="External"/><Relationship Id="rId13" Type="http://schemas.openxmlformats.org/officeDocument/2006/relationships/hyperlink" Target="http://www.nevo.co.il/case/5933865" TargetMode="External"/><Relationship Id="rId14" Type="http://schemas.openxmlformats.org/officeDocument/2006/relationships/hyperlink" Target="http://www.nevo.co.il/case/6120591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402" TargetMode="External"/><Relationship Id="rId17" Type="http://schemas.openxmlformats.org/officeDocument/2006/relationships/hyperlink" Target="http://www.nevo.co.il/law/70301/40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2016-01-24T15:20:00Z</dcterms:created>
  <dc:creator> </dc:creator>
  <dc:description/>
  <cp:keywords/>
  <dc:language>en-IL</dc:language>
  <cp:lastModifiedBy>yafit</cp:lastModifiedBy>
  <dcterms:modified xsi:type="dcterms:W3CDTF">2016-01-24T15:20:00Z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דב אופנהיים;ישראל גורדון;יואל הוך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5589993;5933865;6120591</vt:lpwstr>
  </property>
  <property fmtid="{D5CDD505-2E9C-101B-9397-08002B2CF9AE}" pid="9" name="CITY">
    <vt:lpwstr>ת"א</vt:lpwstr>
  </property>
  <property fmtid="{D5CDD505-2E9C-101B-9397-08002B2CF9AE}" pid="10" name="DATE">
    <vt:lpwstr>20130320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רוזן</vt:lpwstr>
  </property>
  <property fmtid="{D5CDD505-2E9C-101B-9397-08002B2CF9AE}" pid="14" name="LAWLISTTMP1">
    <vt:lpwstr>70301/404:3;031;384;402</vt:lpwstr>
  </property>
  <property fmtid="{D5CDD505-2E9C-101B-9397-08002B2CF9AE}" pid="15" name="LAWYER">
    <vt:lpwstr>ספי ברא'ז;אברהם לנדשטיין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34607</vt:lpwstr>
  </property>
  <property fmtid="{D5CDD505-2E9C-101B-9397-08002B2CF9AE}" pid="22" name="NEWPARTB">
    <vt:lpwstr>02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390020130320</vt:lpwstr>
  </property>
  <property fmtid="{D5CDD505-2E9C-101B-9397-08002B2CF9AE}" pid="34" name="TYPE_N_DATE">
    <vt:lpwstr>39020130320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