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52"/>
        <w:gridCol w:w="33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3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34610-05-12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צורדקר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בסט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3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17"/>
        <w:gridCol w:w="3969"/>
        <w:gridCol w:w="3134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נתן זלוצ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ובר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396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13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96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דרור שטורק מפמ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13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10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1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96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נתנאל צורדקר בסט</w:t>
            </w:r>
          </w:p>
        </w:tc>
        <w:tc>
          <w:tcPr>
            <w:tcW w:w="313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7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96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ניר פוגל</w:t>
            </w:r>
          </w:p>
        </w:tc>
        <w:tc>
          <w:tcPr>
            <w:tcW w:w="3134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194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rtl w:val="true"/>
          </w:rPr>
          <w:t xml:space="preserve">- </w:t>
        </w:r>
        <w:r>
          <w:rPr>
            <w:rStyle w:val="Hyperlink"/>
            <w:rFonts w:cs="FrankRuehl" w:ascii="FrankRuehl" w:hAnsi="FrankRuehl"/>
          </w:rPr>
          <w:t>194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379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Start w:id="7" w:name="LawTable_End"/>
            <w:bookmarkEnd w:id="6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bookmarkStart w:id="8" w:name="ABSTRACT_START"/>
      <w:bookmarkEnd w:id="8"/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18.12.2013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329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2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rtl w:val="true"/>
          </w:rPr>
          <w:t>סעיפים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333</w:t>
        </w:r>
      </w:hyperlink>
      <w:r>
        <w:rPr>
          <w:rFonts w:cs="Calibri" w:ascii="Calibri" w:hAnsi="Calibri"/>
          <w:rtl w:val="true"/>
        </w:rPr>
        <w:t xml:space="preserve"> + </w:t>
      </w:r>
      <w:hyperlink r:id="rId17">
        <w:r>
          <w:rPr>
            <w:rStyle w:val="Hyperlink"/>
            <w:rFonts w:cs="Calibri" w:ascii="Calibri" w:hAnsi="Calibri"/>
          </w:rPr>
          <w:t>335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)(</w:t>
        </w:r>
        <w:r>
          <w:rPr>
            <w:rStyle w:val="Hyperlink"/>
            <w:rFonts w:cs="Calibri" w:ascii="Calibri" w:hAnsi="Calibri"/>
          </w:rPr>
          <w:t>1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25</w:t>
        </w:r>
      </w:hyperlink>
      <w:r>
        <w:rPr>
          <w:rFonts w:cs="Calibri" w:ascii="Calibri" w:hAnsi="Calibri"/>
          <w:rtl w:val="true"/>
        </w:rPr>
        <w:t xml:space="preserve">  </w:t>
      </w:r>
      <w:hyperlink r:id="rId19">
        <w:r>
          <w:rPr>
            <w:rStyle w:val="Hyperlink"/>
            <w:rFonts w:ascii="Calibri" w:hAnsi="Calibri" w:cs="Calibri"/>
            <w:rtl w:val="true"/>
          </w:rPr>
          <w:t>וסעיף</w:t>
        </w:r>
        <w:r>
          <w:rPr>
            <w:rStyle w:val="Hyperlink"/>
            <w:rFonts w:cs="Calibri" w:ascii="Calibri" w:hAnsi="Calibri"/>
            <w:rtl w:val="true"/>
          </w:rPr>
          <w:t xml:space="preserve">- </w:t>
        </w:r>
        <w:r>
          <w:rPr>
            <w:rStyle w:val="Hyperlink"/>
            <w:rFonts w:cs="Calibri" w:ascii="Calibri" w:hAnsi="Calibri"/>
          </w:rPr>
          <w:t>194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ascii="Calibri" w:hAnsi="Calibri" w:cs="Calibri"/>
            <w:rtl w:val="true"/>
          </w:rPr>
          <w:t>ו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א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12/5/12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מדממת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רם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בדואי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זבל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ללכת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מזכוכית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באומרו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תעזוב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ליהודי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לתפוס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אותי</w:t>
      </w:r>
      <w:r>
        <w:rPr>
          <w:rFonts w:cs="Calibri" w:ascii="Calibri" w:hAnsi="Calibri"/>
          <w:b/>
          <w:bCs/>
          <w:rtl w:val="true"/>
        </w:rPr>
        <w:t>", "</w:t>
      </w:r>
      <w:r>
        <w:rPr>
          <w:rFonts w:ascii="Calibri" w:hAnsi="Calibri" w:cs="Calibri"/>
          <w:b/>
          <w:b/>
          <w:bCs/>
          <w:rtl w:val="true"/>
        </w:rPr>
        <w:t>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מסריח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תושייתו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שמנעה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מהאירוע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הסכינאות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הוקפא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טרגדיה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נוראית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ופציעות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לחילופין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מטופלים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פסיכולוגים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האסון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כחונך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להסתגלות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אלמנט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להערכתה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המתנהלים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מורידים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לקונפליקטים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המנחה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firstLine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מבטא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הגמול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חטאו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יזרוק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בדואי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מסריח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תעזוב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ליהודי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לתפוס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אותי</w:t>
      </w:r>
      <w:r>
        <w:rPr>
          <w:rFonts w:cs="Calibri" w:ascii="Calibri" w:hAnsi="Calibri"/>
          <w:b/>
          <w:bCs/>
          <w:rtl w:val="true"/>
        </w:rPr>
        <w:t xml:space="preserve">".  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): "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קפץ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זכוכית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וניסה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בדואים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ובגלל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התגייס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לצבא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בשביל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בבדואים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וקפץ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cs="Calibri" w:ascii="Calibri" w:hAnsi="Calibri"/>
          <w:b/>
          <w:bCs/>
          <w:rtl w:val="true"/>
        </w:rPr>
        <w:t>" (</w:t>
      </w:r>
      <w:r>
        <w:rPr>
          <w:rFonts w:ascii="Calibri" w:hAnsi="Calibri" w:cs="Calibri"/>
          <w:b/>
          <w:b/>
          <w:bCs/>
          <w:rtl w:val="true"/>
        </w:rPr>
        <w:t>השגיות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במקור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 xml:space="preserve">).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7</w:t>
      </w:r>
      <w:r>
        <w:rPr>
          <w:rFonts w:cs="Calibri" w:ascii="Calibri" w:hAnsi="Calibri"/>
          <w:b/>
          <w:bCs/>
          <w:rtl w:val="true"/>
        </w:rPr>
        <w:t xml:space="preserve"> – </w:t>
      </w:r>
      <w:r>
        <w:rPr>
          <w:rFonts w:ascii="Calibri" w:hAnsi="Calibri" w:cs="Calibri"/>
          <w:rtl w:val="true"/>
        </w:rPr>
        <w:t>דוח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עיכוב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תקפתי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בדואי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בדואים</w:t>
      </w:r>
      <w:r>
        <w:rPr>
          <w:rFonts w:cs="Calibri" w:ascii="Calibri" w:hAnsi="Calibri"/>
          <w:b/>
          <w:bCs/>
          <w:rtl w:val="true"/>
        </w:rPr>
        <w:t>" "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הבקבוק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שתקפתי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cs="Calibri" w:ascii="Calibri" w:hAnsi="Calibri"/>
          <w:b/>
          <w:bCs/>
          <w:rtl w:val="true"/>
        </w:rPr>
        <w:t xml:space="preserve">". 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וגזענות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התלקחות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מבוצעת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והעליבו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שבהינף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ומתוקנת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הסכין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סיטואציה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נעימה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6720/04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עסאם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זחאיקה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פורסם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ind w:start="720" w:end="0"/>
        <w:jc w:val="both"/>
        <w:rPr>
          <w:rFonts w:ascii="David" w:hAnsi="David" w:cs="David"/>
          <w:b/>
          <w:bCs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נלאינו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מאמור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ועוד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שוב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ושוב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לשרש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תת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תרבות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הסכין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מחיינו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וחובה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היא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המוטלת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תרומתו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למלחמה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קשה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שבאלימות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אשר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פשתה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במקומותינו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הטלת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עונשים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קלים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-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יחסית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לנדרש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-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שמפרים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צו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Calibri" w:ascii="Calibri" w:hAnsi="Calibri"/>
          <w:b/>
          <w:bCs/>
          <w:sz w:val="22"/>
          <w:szCs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תנעץ</w:t>
      </w:r>
      <w:r>
        <w:rPr>
          <w:rFonts w:cs="Calibri" w:ascii="Calibri" w:hAnsi="Calibri"/>
          <w:b/>
          <w:bCs/>
          <w:sz w:val="22"/>
          <w:szCs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סכין</w:t>
      </w:r>
      <w:r>
        <w:rPr>
          <w:rFonts w:cs="Calibri" w:ascii="Calibri" w:hAnsi="Calibri"/>
          <w:b/>
          <w:bCs/>
          <w:sz w:val="22"/>
          <w:szCs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בגוף</w:t>
      </w:r>
      <w:r>
        <w:rPr>
          <w:rFonts w:cs="Calibri" w:ascii="Calibri" w:hAnsi="Calibri"/>
          <w:b/>
          <w:bCs/>
          <w:sz w:val="22"/>
          <w:szCs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הזולת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מחטיאה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המטרה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שאיפתנו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לעקירה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השורש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התופעה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הפסולה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הז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 xml:space="preserve">". </w:t>
      </w:r>
    </w:p>
    <w:p>
      <w:pPr>
        <w:pStyle w:val="Normal"/>
        <w:ind w:start="720" w:end="54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200"/>
        <w:ind w:start="720" w:end="0"/>
        <w:jc w:val="both"/>
        <w:rPr>
          <w:sz w:val="22"/>
          <w:szCs w:val="22"/>
        </w:rPr>
      </w:pP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25"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2"/>
            <w:u w:val="single"/>
          </w:rPr>
          <w:t>3863/09</w:t>
        </w:r>
      </w:hyperlink>
      <w:r>
        <w:rPr>
          <w:sz w:val="22"/>
          <w:szCs w:val="22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נ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חסן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Cs w:val="22"/>
        </w:rPr>
        <w:t>10.11.2009</w:t>
      </w:r>
      <w:r>
        <w:rPr>
          <w:sz w:val="22"/>
          <w:szCs w:val="22"/>
          <w:rtl w:val="true"/>
        </w:rPr>
        <w:t>):</w:t>
      </w:r>
    </w:p>
    <w:p>
      <w:pPr>
        <w:pStyle w:val="Normal"/>
        <w:spacing w:before="0" w:after="200"/>
        <w:ind w:start="720" w:end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קיים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אינטרס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ציבורי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מובהק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וחד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משמעי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בהרתעת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היחיד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והרתעת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הרבים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נקיטה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כוח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ואלימות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ליישוב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מחלוקות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וסכסוכים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קר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המסר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שצריך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לצאת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שחברה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מתוקנת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אינה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יכולה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להשלים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שימוש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בסכין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פתרון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מחלוקות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וסכסוכים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לשוב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ולהדגיש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זכותו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לחיים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ולשלמות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הגוף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יסוד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מקודשת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ואין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להתיר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בזכות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להילחם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באלימות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שפשטה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בחברה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הישראלית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צורותיה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וגווניה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בתוך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המשפחה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מחוצה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בקרב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נוער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בקרב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מבוגרים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נגע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האלימות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רעה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חולה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לבערה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היסוד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ומן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הראוי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שידע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איש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ותדע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יבחרו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בדרך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האלימות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ייטו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להשית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עליהם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עונשי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משמעותיים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ומרתיעים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סורג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ובריח</w:t>
      </w:r>
      <w:r>
        <w:rPr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spacing w:before="0" w:after="200"/>
        <w:ind w:start="720" w:end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0" w:after="200"/>
        <w:ind w:start="720" w:end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 w:val="22"/>
          <w:szCs w:val="22"/>
          <w:rtl w:val="true"/>
        </w:rPr>
        <w:t>ראה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גם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בעניין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החמרה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בענישה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בעבירות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אלימות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על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רקע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גזעני</w:t>
      </w:r>
      <w:r>
        <w:rPr>
          <w:rFonts w:cs="Calibri" w:ascii="Calibri" w:hAnsi="Calibri"/>
          <w:sz w:val="22"/>
          <w:szCs w:val="22"/>
          <w:rtl w:val="true"/>
        </w:rPr>
        <w:t xml:space="preserve">, </w:t>
      </w:r>
      <w:hyperlink r:id="rId26"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</w:rPr>
          <w:t>59808-06-13</w:t>
        </w:r>
      </w:hyperlink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עלא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אלפאר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1</w:t>
      </w:r>
      <w:r>
        <w:rPr>
          <w:rFonts w:cs="Calibri" w:ascii="Calibri" w:hAnsi="Calibri"/>
          <w:sz w:val="22"/>
          <w:szCs w:val="22"/>
          <w:rtl w:val="true"/>
        </w:rPr>
        <w:t xml:space="preserve">, </w:t>
      </w:r>
      <w:r>
        <w:rPr>
          <w:rFonts w:cs="Calibri" w:ascii="Calibri" w:hAnsi="Calibri"/>
          <w:sz w:val="22"/>
          <w:szCs w:val="22"/>
        </w:rPr>
        <w:t>5</w:t>
      </w:r>
      <w:r>
        <w:rPr>
          <w:rFonts w:cs="Calibri" w:ascii="Calibri" w:hAnsi="Calibri"/>
          <w:sz w:val="22"/>
          <w:szCs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szCs w:val="22"/>
          <w:rtl w:val="true"/>
        </w:rPr>
        <w:t>פורסם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בנבו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07.08.13</w:t>
      </w:r>
      <w:r>
        <w:rPr>
          <w:rFonts w:cs="Calibri" w:ascii="Calibri" w:hAnsi="Calibri"/>
          <w:sz w:val="22"/>
          <w:szCs w:val="22"/>
          <w:rtl w:val="true"/>
        </w:rPr>
        <w:t xml:space="preserve">): </w:t>
      </w:r>
    </w:p>
    <w:p>
      <w:pPr>
        <w:pStyle w:val="Normal"/>
        <w:spacing w:before="0" w:after="200"/>
        <w:ind w:start="720" w:end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  <w:lang w:val="en-IL" w:eastAsia="en-IL"/>
        </w:rPr>
        <w:t>"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המשיב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נהג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בבריונות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ממש</w:t>
      </w:r>
      <w:r>
        <w:rPr>
          <w:b/>
          <w:bCs/>
          <w:sz w:val="22"/>
          <w:szCs w:val="22"/>
          <w:rtl w:val="true"/>
          <w:lang w:val="en-IL" w:eastAsia="en-IL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הוא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נטפל</w:t>
      </w:r>
      <w:r>
        <w:rPr>
          <w:b/>
          <w:bCs/>
          <w:sz w:val="22"/>
          <w:szCs w:val="22"/>
          <w:rtl w:val="true"/>
          <w:lang w:val="en-IL" w:eastAsia="en-IL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סתם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כך</w:t>
      </w:r>
      <w:r>
        <w:rPr>
          <w:b/>
          <w:bCs/>
          <w:sz w:val="22"/>
          <w:szCs w:val="22"/>
          <w:rtl w:val="true"/>
          <w:lang w:val="en-IL" w:eastAsia="en-IL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אל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המתלונן</w:t>
      </w:r>
      <w:r>
        <w:rPr>
          <w:b/>
          <w:bCs/>
          <w:sz w:val="22"/>
          <w:szCs w:val="22"/>
          <w:rtl w:val="true"/>
          <w:lang w:val="en-IL" w:eastAsia="en-IL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ישב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לתומו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ספסל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בגן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ציבורי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והציק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לו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רקע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גזעני</w:t>
      </w:r>
      <w:r>
        <w:rPr>
          <w:b/>
          <w:bCs/>
          <w:sz w:val="22"/>
          <w:szCs w:val="22"/>
          <w:rtl w:val="true"/>
          <w:lang w:val="en-IL" w:eastAsia="en-IL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מאחר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שסבר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שהוא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הומוסקסואל</w:t>
      </w:r>
      <w:r>
        <w:rPr>
          <w:b/>
          <w:bCs/>
          <w:sz w:val="22"/>
          <w:szCs w:val="22"/>
          <w:rtl w:val="true"/>
          <w:lang w:val="en-IL" w:eastAsia="en-IL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מדובר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בפשע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שנאה</w:t>
      </w:r>
      <w:r>
        <w:rPr>
          <w:b/>
          <w:bCs/>
          <w:sz w:val="22"/>
          <w:szCs w:val="22"/>
          <w:rtl w:val="true"/>
          <w:lang w:val="en-IL" w:eastAsia="en-IL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שהשלכותיו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חורגות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מהמקרה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הספציפי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בפנינו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ועובדה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זו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מעצימה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הפגיעה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בערכים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החברתיים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המוגנים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ומצדיק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החמרה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IL" w:eastAsia="en-IL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IL" w:eastAsia="en-IL"/>
        </w:rPr>
        <w:t>בענישה</w:t>
      </w:r>
      <w:r>
        <w:rPr>
          <w:b/>
          <w:bCs/>
          <w:sz w:val="22"/>
          <w:szCs w:val="22"/>
          <w:rtl w:val="true"/>
          <w:lang w:val="en-IL" w:eastAsia="en-IL"/>
        </w:rPr>
        <w:t>".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624" w:leader="none"/>
          <w:tab w:val="left" w:pos="651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right" w:pos="6259" w:leader="dot"/>
        </w:tabs>
        <w:suppressAutoHyphens w:val="true"/>
        <w:autoSpaceDE w:val="false"/>
        <w:spacing w:lineRule="auto" w:line="360" w:before="72" w:after="200"/>
        <w:ind w:hanging="360" w:start="728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אבסולוטי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בקבוק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הבקבוק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וניסה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ומשמיע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גזעניות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ומכוערות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שהצליח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האירוע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באסון</w:t>
      </w:r>
      <w:r>
        <w:rPr>
          <w:rtl w:val="true"/>
          <w:lang w:eastAsia="he-IL"/>
        </w:rPr>
        <w:t xml:space="preserve">. 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200"/>
        <w:ind w:hanging="360" w:start="728" w:end="0"/>
        <w:jc w:val="both"/>
        <w:rPr>
          <w:lang w:val="en-IL" w:eastAsia="en-IL"/>
        </w:rPr>
      </w:pPr>
      <w:r>
        <w:rPr>
          <w:rtl w:val="true"/>
          <w:lang w:eastAsia="he-IL"/>
        </w:rPr>
        <w:t>התביעה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הסתמכה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>\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אריה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בלקוול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6260</w:t>
      </w:r>
      <w:r>
        <w:rPr>
          <w:rtl w:val="true"/>
          <w:lang w:eastAsia="he-IL"/>
        </w:rPr>
        <w:t>\</w:t>
      </w:r>
      <w:r>
        <w:rPr>
          <w:lang w:eastAsia="he-IL"/>
        </w:rPr>
        <w:t>05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מאלק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חדרה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8161</w:t>
      </w:r>
      <w:r>
        <w:rPr>
          <w:rtl w:val="true"/>
          <w:lang w:eastAsia="he-IL"/>
        </w:rPr>
        <w:t>\</w:t>
      </w:r>
      <w:r>
        <w:rPr>
          <w:lang w:eastAsia="he-IL"/>
        </w:rPr>
        <w:t>09</w:t>
      </w:r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מריה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סמוילוביץ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ביסס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המבוקש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2.5-5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מתייחסת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וגרמו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אסטרטגיים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בגופם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והמתלוננים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. </w:t>
      </w:r>
    </w:p>
    <w:p>
      <w:pPr>
        <w:pStyle w:val="Normal"/>
        <w:widowControl w:val="false"/>
        <w:suppressAutoHyphens w:val="true"/>
        <w:autoSpaceDE w:val="false"/>
        <w:spacing w:lineRule="auto" w:line="360" w:before="72" w:after="0"/>
        <w:ind w:start="720" w:end="0"/>
        <w:jc w:val="both"/>
        <w:rPr>
          <w:lang w:val="en-IL" w:eastAsia="en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להבחין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להיגרם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תושייתו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המתלונן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tl w:val="true"/>
          <w:lang w:eastAsia="he-IL"/>
        </w:rPr>
        <w:t xml:space="preserve">.  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למושכלות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הנשיא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344/81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ישראל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שחר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סגל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לה</w:t>
        </w:r>
      </w:hyperlink>
      <w:r>
        <w:rPr>
          <w:rFonts w:cs="Calibri" w:ascii="Calibri" w:hAnsi="Calibri"/>
          <w:rtl w:val="true"/>
          <w:lang w:eastAsia="he-IL"/>
        </w:rPr>
        <w:t>(</w:t>
      </w:r>
      <w:r>
        <w:rPr>
          <w:rFonts w:cs="Calibri" w:ascii="Calibri" w:hAnsi="Calibri"/>
          <w:lang w:eastAsia="he-IL"/>
        </w:rPr>
        <w:t>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cs="Calibri" w:ascii="Calibri" w:hAnsi="Calibri"/>
          <w:lang w:eastAsia="he-IL"/>
        </w:rPr>
        <w:t>313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cs="Calibri" w:ascii="Calibri" w:hAnsi="Calibri"/>
          <w:lang w:eastAsia="he-IL"/>
        </w:rPr>
        <w:t>318</w:t>
      </w:r>
      <w:r>
        <w:rPr>
          <w:rFonts w:cs="Calibri" w:ascii="Calibri" w:hAnsi="Calibri"/>
          <w:rtl w:val="true"/>
          <w:lang w:eastAsia="he-IL"/>
        </w:rPr>
        <w:t>: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before="0" w:after="80"/>
        <w:ind w:start="720" w:end="0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שיקוליו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המבחן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למבוגרים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אינם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חופפים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בהכרח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שיקוליו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וזאת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היתר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מאחר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שהוא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אינו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מופקד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הראייה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הכוללת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הבוחנת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אלמנט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ההרתעה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הכללי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ונתונים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כיוצא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באלה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לכן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לבוא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בטרוניה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המבחן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נותן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דעתו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בעיקר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לאינטרס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האישי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ואף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מוכן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להציע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הצעות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לשיקום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המעוגנות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לעתים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בהערכה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ובהתרשמות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השירות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רואה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עיקר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מעייניו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במיצויו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היבט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מוגדר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הנתונים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הנאספים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לקראת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ההכרעה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השיפוטית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שיוצר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האיזון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הנאות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הנתונים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השונים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ומופקד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ראייתו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השלם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להבדיל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הקטע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המקוטע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מכאן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הדברים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העולים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התסקיר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מצטרפים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בדרך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כלל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נתונים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רלוואנטיים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נוספים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המשמשים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יסוד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לשיקוליו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כגון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מהות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העבירה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הלקחים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לגבי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האיש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ומעשיו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כפי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שהם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מתגבשים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בראייתו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ועוד</w:t>
      </w:r>
      <w:r>
        <w:rPr>
          <w:rFonts w:cs="Calibri" w:ascii="Calibri" w:hAnsi="Calibri"/>
          <w:b/>
          <w:bCs/>
          <w:sz w:val="22"/>
          <w:szCs w:val="22"/>
          <w:rtl w:val="true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before="0" w:after="80"/>
        <w:ind w:start="720" w:end="0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הנסיבות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האישיות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נאשם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-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לרבות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אופיו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והתנהגותו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הכללית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והסיכון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שיעבור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עבירות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נוספות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-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לעולם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שיקול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רלוואנטי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בקביעת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מידת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מדובר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באישום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הקובע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עונש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חובה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אולם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הנסיבות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הללו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אינן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ממצות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שטעון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שיקול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עובר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לגזרת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ויש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בהן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רק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נדבך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מרכיב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אחד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מתוך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מרכיבים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מספר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ועוד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המשקל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היחסי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הנסיבות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האישיות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בזיקתן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לעבירה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ולנסיבותיה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משתנה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ממקרה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למקרה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וכל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מדובר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בנסיבות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יוצאות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דופן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מקובל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בדרך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כלל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ככל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שחומרת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העבירה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גוברת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הרי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לצורך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קביעת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מידת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פוחת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משקלן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היחסי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הנסיבות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האישיות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המקילות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before="0" w:after="80"/>
        <w:ind w:end="0"/>
        <w:contextualSpacing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ד</w:t>
        </w:r>
        <w:r>
          <w:rPr>
            <w:rStyle w:val="Hyperlink"/>
            <w:rFonts w:cs="Calibri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rtl w:val="true"/>
          </w:rPr>
          <w:t>בסעיף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ascii="Calibri" w:hAnsi="Calibri" w:cs="Calibri"/>
            <w:rtl w:val="true"/>
          </w:rPr>
          <w:t>ד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הקובע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br/>
      </w:r>
      <w:r>
        <w:rPr>
          <w:rFonts w:cs="Calibri" w:ascii="Calibri" w:hAnsi="Calibri"/>
          <w:sz w:val="22"/>
          <w:szCs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מעשה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העבירה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ומידת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אשמו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בעלי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חומרה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יתרה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יחרוג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ממתחם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ההולם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כאמור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בס</w:t>
      </w: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</w:rPr>
        <w:t>(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),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אף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השתקם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סיכוי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ממש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שישתקם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בנסיבות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מיוחדות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ויוצאות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דופן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לאחר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שוכנע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שהן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גוברות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הצורך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לקבוע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במתחם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ההולם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בהתאם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לעיקרון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המנחה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ופירט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בגזר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הדין</w:t>
      </w: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7572/12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קמאל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הזייל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23.10.2012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סעיף </w:t>
      </w:r>
      <w:r>
        <w:rPr>
          <w:rFonts w:cs="Arial" w:ascii="Arial" w:hAnsi="Arial"/>
          <w:b/>
          <w:bCs/>
          <w:sz w:val="22"/>
          <w:szCs w:val="22"/>
        </w:rPr>
        <w:t>40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אינו עומד לבדו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שכן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מיד לאחריו מגיעים סעיפים </w:t>
      </w:r>
      <w:r>
        <w:rPr>
          <w:rFonts w:cs="Arial" w:ascii="Arial" w:hAnsi="Arial"/>
          <w:b/>
          <w:bCs/>
          <w:sz w:val="22"/>
          <w:szCs w:val="22"/>
        </w:rPr>
        <w:t>40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 ו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cs="Arial" w:ascii="Arial" w:hAnsi="Arial"/>
          <w:b/>
          <w:bCs/>
          <w:sz w:val="22"/>
          <w:szCs w:val="22"/>
        </w:rPr>
        <w:t>40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אשר דנים בחריגה ממתחם העונש ההולם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לחומרא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לשם הגנה על שלום הציבור או לשם הרתעה אישית של הנאשם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כלומר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בניגוד לטענת באת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כוח המבקש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המחוקק אינו מעניק עדיפות ברורה לשיקולי שיקום על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פני שיקולים אחרים</w:t>
      </w:r>
      <w:r>
        <w:rPr>
          <w:rFonts w:cs="Arial" w:ascii="Arial" w:hAnsi="Arial"/>
          <w:b/>
          <w:bCs/>
          <w:sz w:val="22"/>
          <w:szCs w:val="22"/>
          <w:rtl w:val="true"/>
        </w:rPr>
        <w:t>...</w:t>
      </w: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cs="Calibri" w:ascii="Calibri" w:hAnsi="Calibri"/>
          <w:sz w:val="22"/>
          <w:szCs w:val="22"/>
          <w:rtl w:val="true"/>
        </w:rPr>
        <w:t xml:space="preserve"> (</w:t>
      </w:r>
      <w:r>
        <w:rPr>
          <w:rFonts w:ascii="Calibri" w:hAnsi="Calibri" w:cs="Calibri"/>
          <w:sz w:val="22"/>
          <w:sz w:val="22"/>
          <w:szCs w:val="22"/>
          <w:rtl w:val="true"/>
        </w:rPr>
        <w:t>ראו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גם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szCs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szCs w:val="22"/>
            <w:u w:val="single"/>
          </w:rPr>
          <w:t>7311/13</w:t>
        </w:r>
      </w:hyperlink>
      <w:r>
        <w:rPr>
          <w:rFonts w:cs="Calibri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ניסים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הושיאר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נגד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ישראל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sz w:val="22"/>
          <w:szCs w:val="22"/>
          <w:rtl w:val="true"/>
        </w:rPr>
        <w:t>(</w:t>
      </w:r>
      <w:r>
        <w:rPr>
          <w:rFonts w:ascii="Calibri" w:hAnsi="Calibri" w:cs="Calibri"/>
          <w:sz w:val="22"/>
          <w:sz w:val="22"/>
          <w:szCs w:val="22"/>
          <w:rtl w:val="true"/>
        </w:rPr>
        <w:t>פורסם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szCs w:val="22"/>
          <w:rtl w:val="true"/>
        </w:rPr>
        <w:t>ביום</w:t>
      </w:r>
      <w:r>
        <w:rPr>
          <w:rFonts w:ascii="Calibri" w:hAnsi="Calibri" w:cs="Calibri"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sz w:val="22"/>
          <w:szCs w:val="22"/>
        </w:rPr>
        <w:t>16.7.2013</w:t>
      </w:r>
      <w:r>
        <w:rPr>
          <w:rFonts w:cs="Calibri" w:ascii="Calibri" w:hAnsi="Calibri"/>
          <w:sz w:val="22"/>
          <w:szCs w:val="22"/>
          <w:rtl w:val="true"/>
        </w:rPr>
        <w:t>).</w:t>
      </w:r>
      <w:r>
        <w:rPr>
          <w:rFonts w:cs="Calibri" w:ascii="Calibri" w:hAnsi="Calibri"/>
          <w:spacing w:val="10"/>
          <w:sz w:val="22"/>
          <w:szCs w:val="28"/>
          <w:rtl w:val="true"/>
        </w:rPr>
        <w:t xml:space="preserve"> 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דופן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שוקם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פיקוחי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לקונפליקטים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מסיכויו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מזכויות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במחלוקת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אמפטיה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הגזעניים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3489/05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תורג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270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spacing w:before="0" w:after="200"/>
        <w:ind w:start="720" w:end="0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לנאשם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זכות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יסוד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ובלתי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מעורערת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לנהל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הגנתו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כפי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הבנתו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זכות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חלק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בלתי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נפרד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מאגד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הזכויות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העומדות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לנאשם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בפלילים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שבהצטרפן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יוצרות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רשת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ההגנה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הדיונית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שפורשים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כללי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הפרוצדורה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הפלילית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נאשמים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באשר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ברי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מימושה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זכות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אינו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עומד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-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ואינו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יכול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לעמוד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-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לנאשמים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לרועץ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ברם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במלאכת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קביעת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העונש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רשאי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רשאי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להביא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בחשבון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במניין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שיקוליו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שיקולים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דוגמת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חיסכון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בזמן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שיפוטי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נטילת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אחריות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המעשה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והבעת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חרטה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משמעות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הדבר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החמרה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"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הבוחרים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לנהל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הגנתם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תום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הקלה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לגיטימית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אלו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הבוחרים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להודות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ואוסיף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עוד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זאת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בענייננו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שלנו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נסיבות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נוספות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נזקפות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לחובת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כגון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התרשמותו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הקשה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-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השלום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מהמבקש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והאופן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בחר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לנהג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עצמו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במהלך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</w:rPr>
        <w:t>משפטו</w:t>
      </w:r>
      <w:r>
        <w:rPr>
          <w:rFonts w:cs="Calibri" w:ascii="Calibri" w:hAnsi="Calibri"/>
          <w:b/>
          <w:bCs/>
          <w:sz w:val="22"/>
          <w:szCs w:val="22"/>
          <w:rtl w:val="true"/>
        </w:rPr>
        <w:t xml:space="preserve">..." 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276" w:before="0" w:after="200"/>
        <w:ind w:end="0"/>
        <w:contextualSpacing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20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התנדבותו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פוחת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בייחוד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הגזעני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והמשפחתיות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ותוך שהבהרתי בהחלטתי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כי אין בכך אפילו רמז לכך שבית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 של 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 יחליט שזה יהיה עונשו של הנאשם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התייצב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סנגורו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ההתייצבות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זימונו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וברור שהדיון לא ידחה לשם כך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3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72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ששמעתי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וקראתי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108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12.05.12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10.06.12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108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rtl w:val="true"/>
          </w:rPr>
          <w:t>לסעיף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379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1088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rtl w:val="true"/>
          </w:rPr>
          <w:t>לסעיפים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194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hyperlink r:id="rId36">
        <w:r>
          <w:rPr>
            <w:rStyle w:val="Hyperlink"/>
            <w:rFonts w:cs="Calibri" w:ascii="Calibri" w:hAnsi="Calibri"/>
          </w:rPr>
          <w:t>144</w:t>
        </w:r>
        <w:r>
          <w:rPr>
            <w:rStyle w:val="Hyperlink"/>
            <w:rFonts w:ascii="Calibri" w:hAnsi="Calibri" w:cs="Calibri"/>
            <w:rtl w:val="true"/>
          </w:rPr>
          <w:t>ו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hanging="360" w:start="1088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הסוציואקונומי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  <w:tab w:val="left" w:pos="4896" w:leader="none"/>
        </w:tabs>
        <w:autoSpaceDE w:val="false"/>
        <w:spacing w:lineRule="auto" w:line="360" w:before="0" w:after="80"/>
        <w:ind w:end="0"/>
        <w:contextualSpacing/>
        <w:jc w:val="both"/>
        <w:rPr>
          <w:rFonts w:ascii="Calibri" w:hAnsi="Calibri" w:cs="Calibri"/>
          <w:color w:val="FFFFFF"/>
          <w:sz w:val="2"/>
          <w:szCs w:val="2"/>
        </w:rPr>
      </w:pPr>
      <w:r>
        <w:rPr>
          <w:rFonts w:cs="Calibri" w:ascii="Calibri" w:hAnsi="Calibri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 אייר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11" w:name="_GoBack"/>
      <w:bookmarkStart w:id="12" w:name="_GoBack"/>
      <w:bookmarkEnd w:id="12"/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נתן 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34610-05-12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נתנאל צורדקר בסט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8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8" w:hanging="360"/>
      </w:pPr>
      <w:rPr>
        <w:sz w:val="24"/>
        <w:b w:val="false"/>
        <w:szCs w:val="24"/>
        <w:bCs w:val="false"/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b w:val="false"/>
      <w:bCs w:val="false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Hyperlink1">
    <w:name w:val="Hyperlink1"/>
    <w:basedOn w:val="DefaultParagraphFont"/>
    <w:qFormat/>
    <w:rPr>
      <w:rFonts w:cs="Times New Roman"/>
      <w:color w:val="0000FF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d.b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144f.a" TargetMode="External"/><Relationship Id="rId9" Type="http://schemas.openxmlformats.org/officeDocument/2006/relationships/hyperlink" Target="http://www.nevo.co.il/law/70301/194" TargetMode="External"/><Relationship Id="rId10" Type="http://schemas.openxmlformats.org/officeDocument/2006/relationships/hyperlink" Target="http://www.nevo.co.il/law/70301/194.b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/335.a.1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194.b" TargetMode="External"/><Relationship Id="rId20" Type="http://schemas.openxmlformats.org/officeDocument/2006/relationships/hyperlink" Target="http://www.nevo.co.il/law/70301/144f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080576" TargetMode="External"/><Relationship Id="rId25" Type="http://schemas.openxmlformats.org/officeDocument/2006/relationships/hyperlink" Target="http://www.nevo.co.il/case/5920165" TargetMode="External"/><Relationship Id="rId26" Type="http://schemas.openxmlformats.org/officeDocument/2006/relationships/hyperlink" Target="http://www.nevo.co.il/case/7709308" TargetMode="External"/><Relationship Id="rId27" Type="http://schemas.openxmlformats.org/officeDocument/2006/relationships/hyperlink" Target="http://www.nevo.co.il/links/psika/?link=&#1506;&#1508;%20344/81&amp;Pvol=&#1500;&#1492;" TargetMode="External"/><Relationship Id="rId28" Type="http://schemas.openxmlformats.org/officeDocument/2006/relationships/hyperlink" Target="http://www.nevo.co.il/law/70301/40d" TargetMode="External"/><Relationship Id="rId29" Type="http://schemas.openxmlformats.org/officeDocument/2006/relationships/hyperlink" Target="http://www.nevo.co.il/law/70301/40d.b" TargetMode="External"/><Relationship Id="rId30" Type="http://schemas.openxmlformats.org/officeDocument/2006/relationships/hyperlink" Target="http://www.nevo.co.il/case/5601732" TargetMode="External"/><Relationship Id="rId31" Type="http://schemas.openxmlformats.org/officeDocument/2006/relationships/hyperlink" Target="http://www.nevo.co.il/links/psika/?link=&#1512;&#1506;&#1508;%207311/13" TargetMode="External"/><Relationship Id="rId32" Type="http://schemas.openxmlformats.org/officeDocument/2006/relationships/hyperlink" Target="http://www.nevo.co.il/links/psika/?link=&#1512;&#1506;&#1508;%203489/05" TargetMode="External"/><Relationship Id="rId33" Type="http://schemas.openxmlformats.org/officeDocument/2006/relationships/hyperlink" Target="http://www.nevo.co.il/law/70301/379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94" TargetMode="External"/><Relationship Id="rId36" Type="http://schemas.openxmlformats.org/officeDocument/2006/relationships/hyperlink" Target="http://www.nevo.co.il/law/70301/144f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2014-05-26T06:10:00Z</dcterms:created>
  <dc:creator> </dc:creator>
  <dc:description/>
  <cp:keywords/>
  <dc:language>en-IL</dc:language>
  <cp:lastModifiedBy>eli</cp:lastModifiedBy>
  <dcterms:modified xsi:type="dcterms:W3CDTF">2014-05-26T06:10:00Z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נתנאל צורדקר בסט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ProcID=174;133;209&amp;PartA=7311&amp;PartC=13</vt:lpwstr>
  </property>
  <property fmtid="{D5CDD505-2E9C-101B-9397-08002B2CF9AE}" pid="9" name="CASENOTES2">
    <vt:lpwstr>ProcID=174;133;209&amp;PartA=3489&amp;PartC=05</vt:lpwstr>
  </property>
  <property fmtid="{D5CDD505-2E9C-101B-9397-08002B2CF9AE}" pid="10" name="CASENOTES3">
    <vt:lpwstr>ProcID=133;209&amp;PartA=344&amp;PartC=81</vt:lpwstr>
  </property>
  <property fmtid="{D5CDD505-2E9C-101B-9397-08002B2CF9AE}" pid="11" name="CASESLISTTMP1">
    <vt:lpwstr>6080576;5920165;7709308;5601732</vt:lpwstr>
  </property>
  <property fmtid="{D5CDD505-2E9C-101B-9397-08002B2CF9AE}" pid="12" name="CITY">
    <vt:lpwstr>ב"ש</vt:lpwstr>
  </property>
  <property fmtid="{D5CDD505-2E9C-101B-9397-08002B2CF9AE}" pid="13" name="DATE">
    <vt:lpwstr>20140521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נתן זלוצ'ובר</vt:lpwstr>
  </property>
  <property fmtid="{D5CDD505-2E9C-101B-9397-08002B2CF9AE}" pid="17" name="LAWLISTTMP1">
    <vt:lpwstr>70301/329.a.2;333;335.a.1;025;194.b;144f.a;040b;040d;040d.b;379;194;144f</vt:lpwstr>
  </property>
  <property fmtid="{D5CDD505-2E9C-101B-9397-08002B2CF9AE}" pid="18" name="LAWYER">
    <vt:lpwstr>דרור שטורק;ניר פוגל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34610</vt:lpwstr>
  </property>
  <property fmtid="{D5CDD505-2E9C-101B-9397-08002B2CF9AE}" pid="25" name="NEWPARTB">
    <vt:lpwstr>05</vt:lpwstr>
  </property>
  <property fmtid="{D5CDD505-2E9C-101B-9397-08002B2CF9AE}" pid="26" name="NEWPARTC">
    <vt:lpwstr>12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390020140521</vt:lpwstr>
  </property>
  <property fmtid="{D5CDD505-2E9C-101B-9397-08002B2CF9AE}" pid="37" name="TYPE_N_DATE">
    <vt:lpwstr>39020140521</vt:lpwstr>
  </property>
  <property fmtid="{D5CDD505-2E9C-101B-9397-08002B2CF9AE}" pid="38" name="VOLUME">
    <vt:lpwstr/>
  </property>
  <property fmtid="{D5CDD505-2E9C-101B-9397-08002B2CF9AE}" pid="39" name="WORDNUMPAGES">
    <vt:lpwstr>9</vt:lpwstr>
  </property>
</Properties>
</file>