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34916-08-15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אדרי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 בפיקוח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רות לורך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סגנית נשיא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דן אדרי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עצור בפיקוח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יעל זליג </w:t>
      </w:r>
      <w:r>
        <w:rPr>
          <w:b w:val="false"/>
          <w:bCs w:val="false"/>
          <w:u w:val="none"/>
          <w:rtl w:val="true"/>
        </w:rPr>
        <w:br/>
      </w: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ורד שלו  </w:t>
      </w:r>
    </w:p>
    <w:p>
      <w:pPr>
        <w:pStyle w:val="12"/>
        <w:ind w:end="0"/>
        <w:jc w:val="start"/>
        <w:rPr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התייצב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David"/>
        <w:ind w:end="0"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 w:cs="David"/>
          <w:rtl w:val="true"/>
        </w:rPr>
        <w:t>הנאשם הורשע על פי הודאתו בעובדות כתב אישום המתוקן בשנית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בעבירה של סיוע לנשיאת נשק על פי </w:t>
      </w:r>
      <w:hyperlink r:id="rId11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רישא לסיפא</w:t>
      </w:r>
      <w:r>
        <w:rPr>
          <w:rFonts w:cs="David" w:ascii="David" w:hAnsi="David"/>
          <w:rtl w:val="true"/>
        </w:rPr>
        <w:t>+</w:t>
      </w:r>
      <w:hyperlink r:id="rId12">
        <w:r>
          <w:rPr>
            <w:rStyle w:val="Hyperlink"/>
            <w:rFonts w:cs="David" w:ascii="David" w:hAnsi="David"/>
            <w:color w:val="0000FF"/>
            <w:u w:val="single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13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הנאשם צירף והודה בעבירות נושא תיק שהוגש לבית המשפט השלום בקריית 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עבירות של הכשלת שוטר לפי </w:t>
      </w:r>
      <w:hyperlink r:id="rId14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לחוק ושימוש בסם לצריכה עצמית לפי </w:t>
      </w:r>
      <w:hyperlink r:id="rId15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)+</w:t>
        </w:r>
        <w:r>
          <w:rPr>
            <w:rStyle w:val="Hyperlink"/>
            <w:rFonts w:cs="David" w:ascii="David" w:hAnsi="David"/>
            <w:color w:val="0000FF"/>
            <w:u w:val="single"/>
          </w:rPr>
          <w:t>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סיפא לפקודת הסמים ושימוש בכוח למנוע מעצר לפי </w:t>
      </w:r>
      <w:hyperlink r:id="rId16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17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חסד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פ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bookmarkStart w:id="9" w:name="ABSTRACT_END"/>
      <w:bookmarkEnd w:id="9"/>
      <w:r>
        <w:rPr>
          <w:rFonts w:ascii="David" w:hAnsi="David" w:cs="David"/>
          <w:rtl w:val="true"/>
        </w:rPr>
        <w:t xml:space="preserve">הודאת הנאשם נעשתה במסגרת הסדר טיעון לפיו תוקן כתב האישום המקורי באופן משמעותי לקולא ולפיו עותרים הצדדים לגזור על הנאשם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מ אסר בפועל שירצה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פסילה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ופסילה 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הצדדים פירטו את השיקולים שהביאו אותם להסדר הטיעון ואומר כי אלמלא שיקולים אלה מדובר היה בעונש מקל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בהתחשב בשיקולים העונש ראוי ומאזן נכונה בין האינטרסים השונים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לחומרא יש לזקוף את העבירות עצמן הכוללות סיוע לנשיאת נשק וכן שימוש בסם והתנהגות הנלווית כאשר שוטר ביקש לעצור את הנאשם בגין החשד להחזקת הסם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Calibri" w:hAnsi="Calibri" w:cs="Calibri"/>
        </w:rPr>
      </w:pPr>
      <w:r>
        <w:rPr>
          <w:rFonts w:ascii="David" w:hAnsi="David" w:cs="David"/>
          <w:rtl w:val="true"/>
        </w:rPr>
        <w:t>לקולא יש לשקול את תיקון כתב האישום המקורי באופן משמעותי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את העובדה שחלקו של הנאשם שולי לעומת חלקו של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הוא נוצל והושפע על ידי האחר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מדובר בנאשם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יליד </w:t>
      </w:r>
      <w:r>
        <w:rPr>
          <w:rFonts w:cs="David" w:ascii="David" w:hAnsi="David"/>
        </w:rPr>
        <w:t>1995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נעדר עבר פלילי אשר שיתף פעולה  </w:t>
      </w:r>
      <w:r>
        <w:rPr>
          <w:rFonts w:ascii="Calibri" w:hAnsi="Calibri" w:cs="Calibri"/>
          <w:rtl w:val="true"/>
        </w:rPr>
        <w:t>באופן מלא עם רשויות החקירה והביע חרטה בגין המעשים</w:t>
      </w:r>
      <w:r>
        <w:rPr>
          <w:rFonts w:cs="Calibri" w:ascii="Calibri" w:hAnsi="Calibri"/>
          <w:rtl w:val="true"/>
        </w:rPr>
        <w:t>.</w:t>
      </w:r>
    </w:p>
    <w:p>
      <w:pPr>
        <w:pStyle w:val="David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 המפורט לעיל אני מאמצת את הסדר הטיעון וגוזרת על הנאשם לאורו את העונשים הבאים</w:t>
      </w:r>
      <w:r>
        <w:rPr>
          <w:rFonts w:cs="Calibri" w:ascii="Calibri" w:hAnsi="Calibri"/>
          <w:rtl w:val="true"/>
        </w:rPr>
        <w:t>:</w:t>
      </w:r>
    </w:p>
    <w:p>
      <w:pPr>
        <w:pStyle w:val="David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שישה חודשים מאסר בפועל שירוצו בעבודת שירות במתנ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 יום 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 xml:space="preserve">ברחוב הרי גולן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אשדוד</w:t>
      </w:r>
      <w:r>
        <w:rPr>
          <w:rFonts w:cs="Calibri" w:ascii="Calibri" w:hAnsi="Calibri"/>
          <w:rtl w:val="true"/>
        </w:rPr>
        <w:t>.</w:t>
      </w:r>
    </w:p>
    <w:p>
      <w:pPr>
        <w:pStyle w:val="David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הנאשם יתייצב ביום </w:t>
      </w:r>
      <w:r>
        <w:rPr>
          <w:rFonts w:cs="Calibri" w:ascii="Calibri" w:hAnsi="Calibri"/>
        </w:rPr>
        <w:t>14/02/16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בשעה </w:t>
      </w:r>
      <w:r>
        <w:rPr>
          <w:rFonts w:cs="Calibri" w:ascii="Calibri" w:hAnsi="Calibri"/>
        </w:rPr>
        <w:t>08:00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ביחידת עבודות השירות בבאר שבע לצורך תחילת העבודה</w:t>
      </w:r>
      <w:r>
        <w:rPr>
          <w:rFonts w:cs="Calibri" w:ascii="Calibri" w:hAnsi="Calibri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  <w:t xml:space="preserve"> </w:t>
      </w:r>
      <w:r>
        <w:rPr>
          <w:rFonts w:ascii="Calibri" w:hAnsi="Calibri" w:cs="Calibri"/>
          <w:rtl w:val="true"/>
        </w:rPr>
        <w:t>שישה חודשים מאסר על תנאי שלא יעבור תוך שלוש שנים עבירת נשק או עבירה בניגוד ל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פסילה מלנהוג 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מסיום ביצוע עבודות השירות</w:t>
      </w:r>
      <w:r>
        <w:rPr>
          <w:rFonts w:cs="Calibri" w:ascii="Calibri" w:hAnsi="Calibri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שלושה חודשים פסילה על תנאי שלא יעבור תוך שנתיים עבירה בניגוד ל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או עבירה של נהיגה בזמן פסילה</w:t>
      </w:r>
      <w:r>
        <w:rPr>
          <w:rFonts w:cs="Calibri" w:ascii="Calibri" w:hAnsi="Calibri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David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 xml:space="preserve">זכות ערעור תוך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 לבית המשפט העליון</w:t>
      </w:r>
    </w:p>
    <w:p>
      <w:pPr>
        <w:pStyle w:val="David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rtl w:val="true"/>
        </w:rPr>
        <w:t>ניתנה והודעה היום 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12/01/2016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רות לורך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סגנית נשיא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David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רות לורך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34916-08-15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דן אדרי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4216/7.a." TargetMode="External"/><Relationship Id="rId8" Type="http://schemas.openxmlformats.org/officeDocument/2006/relationships/hyperlink" Target="http://www.nevo.co.il/law/4216/7.c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4903/47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75" TargetMode="External"/><Relationship Id="rId15" Type="http://schemas.openxmlformats.org/officeDocument/2006/relationships/hyperlink" Target="http://www.nevo.co.il/law/4216/7.a.;7.c" TargetMode="External"/><Relationship Id="rId16" Type="http://schemas.openxmlformats.org/officeDocument/2006/relationships/hyperlink" Target="http://www.nevo.co.il/law/74903/47.a" TargetMode="External"/><Relationship Id="rId17" Type="http://schemas.openxmlformats.org/officeDocument/2006/relationships/hyperlink" Target="http://www.nevo.co.il/law/74903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2016-01-19T13:20:00Z</dcterms:created>
  <dc:creator> </dc:creator>
  <dc:description/>
  <cp:keywords/>
  <dc:language>en-IL</dc:language>
  <cp:lastModifiedBy>hofit</cp:lastModifiedBy>
  <dcterms:modified xsi:type="dcterms:W3CDTF">2016-01-19T13:20:00Z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דן אדרי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מרכז</vt:lpwstr>
  </property>
  <property fmtid="{D5CDD505-2E9C-101B-9397-08002B2CF9AE}" pid="9" name="DATE">
    <vt:lpwstr>20160112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רות לורך</vt:lpwstr>
  </property>
  <property fmtid="{D5CDD505-2E9C-101B-9397-08002B2CF9AE}" pid="13" name="LAWLISTTMP1">
    <vt:lpwstr>70301/144.b;031;275</vt:lpwstr>
  </property>
  <property fmtid="{D5CDD505-2E9C-101B-9397-08002B2CF9AE}" pid="14" name="LAWLISTTMP2">
    <vt:lpwstr>4216/007.a;007.c</vt:lpwstr>
  </property>
  <property fmtid="{D5CDD505-2E9C-101B-9397-08002B2CF9AE}" pid="15" name="LAWLISTTMP3">
    <vt:lpwstr>74903/047.a</vt:lpwstr>
  </property>
  <property fmtid="{D5CDD505-2E9C-101B-9397-08002B2CF9AE}" pid="16" name="LAWYER">
    <vt:lpwstr>יעל זליג; ורד שלו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34916</vt:lpwstr>
  </property>
  <property fmtid="{D5CDD505-2E9C-101B-9397-08002B2CF9AE}" pid="23" name="NEWPARTB">
    <vt:lpwstr>08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390020160112</vt:lpwstr>
  </property>
  <property fmtid="{D5CDD505-2E9C-101B-9397-08002B2CF9AE}" pid="35" name="TYPE_N_DATE">
    <vt:lpwstr>39020160112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