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34938-09-18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רונית בש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עלא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במ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40413-12-17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)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14.12.17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21:40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חצירה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הסוכן</w:t>
      </w:r>
      <w:r>
        <w:rPr>
          <w:rtl w:val="true"/>
        </w:rPr>
        <w:t xml:space="preserve">)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22:40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6.7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8.3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23.7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; </w:t>
      </w:r>
      <w:r>
        <w:rPr/>
        <w:t>31.9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זה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22.2.18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59424-02-18</w:t>
        </w:r>
      </w:hyperlink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החוקית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3.9.18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6:30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ומסא</w:t>
      </w:r>
      <w:r>
        <w:rPr>
          <w:rtl w:val="true"/>
        </w:rPr>
        <w:t xml:space="preserve">"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המאפייה</w:t>
      </w:r>
      <w:r>
        <w:rPr>
          <w:rFonts w:cs="Miriam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כשאחר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35HP</w:t>
      </w:r>
      <w:r>
        <w:rPr>
          <w:rtl w:val="true"/>
        </w:rPr>
        <w:t xml:space="preserve">, </w:t>
      </w:r>
      <w:r>
        <w:rPr>
          <w:rtl w:val="true"/>
        </w:rPr>
        <w:t>קיבר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פארבלום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58418C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האקדח</w:t>
      </w:r>
      <w:r>
        <w:rPr>
          <w:rFonts w:cs="Miriam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המאפייה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רחמן</w:t>
      </w:r>
      <w:r>
        <w:rPr>
          <w:rtl w:val="true"/>
        </w:rPr>
        <w:t xml:space="preserve">, </w:t>
      </w:r>
      <w:r>
        <w:rPr>
          <w:rtl w:val="true"/>
        </w:rPr>
        <w:t>כקופאי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ושהו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",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ולשלול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</w:t>
      </w:r>
      <w:r>
        <w:rPr>
          <w:rtl w:val="true"/>
        </w:rPr>
        <w:t xml:space="preserve">, </w:t>
      </w:r>
      <w:r>
        <w:rPr>
          <w:rtl w:val="true"/>
        </w:rPr>
        <w:t>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ומשזה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סעיד</w:t>
      </w:r>
      <w:r>
        <w:rPr>
          <w:rtl w:val="true"/>
        </w:rPr>
        <w:t xml:space="preserve">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במתרחש</w:t>
      </w:r>
      <w:r>
        <w:rPr>
          <w:rtl w:val="true"/>
        </w:rPr>
        <w:t xml:space="preserve">,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השוטרים</w:t>
      </w:r>
      <w:r>
        <w:rPr>
          <w:rtl w:val="true"/>
        </w:rPr>
        <w:t xml:space="preserve">)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נהיגתם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סעיד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לטיף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-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המאופיינת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1.3.19</w:t>
      </w:r>
      <w:r>
        <w:rPr>
          <w:rtl w:val="true"/>
        </w:rPr>
        <w:t xml:space="preserve">. 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tl w:val="true"/>
        </w:rPr>
        <w:t xml:space="preserve">,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4</w:t>
      </w:r>
      <w:r>
        <w:rPr>
          <w:rtl w:val="true"/>
        </w:rPr>
        <w:t xml:space="preserve">).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כקופאי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8.4.19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7.4.19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המאפייה</w:t>
      </w:r>
      <w:r>
        <w:rPr>
          <w:rtl w:val="true"/>
        </w:rPr>
        <w:t xml:space="preserve">) 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,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). 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מתווה את העיקרון המנחה כיום את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בבואו לגזור דינו של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סעיף </w:t>
      </w:r>
      <w:hyperlink r:id="rId38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לחוק 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 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צריך להתקיים יחס הולם בין חומרת מעשה העבירה בנסיבותיו ומידת אשמו של הנאשם 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 זה 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את עיקרון הגמול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סעיף </w:t>
      </w:r>
      <w:hyperlink r:id="rId40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קובע כי על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לקבוע מתחם עונש הולם למעשה העבירה שביצע הנאשם בהתאם לעיקרון המנחה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בערך החברתי שנפגע מביצוע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הכלולות בסעיף </w:t>
      </w:r>
      <w:hyperlink r:id="rId42"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cs="Calibri" w:ascii="Calibri" w:hAnsi="Calibri"/>
            <w:color w:val="0000FF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בשלב הראשון  על בית המשפט לבדוק האם העבירות בהן הורשע הנאשם מהוות אירוע אחד או מספר אירועים נפרדים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אם יגיע למסקנה כי מדובר באירועים נפרדים עליו לקבוע מתחם ענישה הולם לכל אירוע בנפרד ולאחר מכן לגזור עונש נפרד לכל אירוע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בד בבד עם קביעה האם ירוצו העונשים בחופף או במצטבר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או עונש כולל לאירועים כולם </w:t>
      </w:r>
      <w:r>
        <w:rPr>
          <w:rFonts w:cs="Calibri" w:ascii="Calibri" w:hAnsi="Calibri"/>
          <w:rtl w:val="true"/>
        </w:rPr>
        <w:t>(</w:t>
      </w:r>
      <w:hyperlink r:id="rId44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 xml:space="preserve">ראו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5.8.2013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ב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אבר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29.10.2014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אבר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קבע 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עבירות שיש ביניהן קשר ענייני הדוק ושניתן להשקיף עליהן כמסכת עבריינית אחת ייחשבו לאירוע אחד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ראו בעניין זה פסקה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 דעתה של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 ברק ארז בעניין 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 xml:space="preserve">אבר ופסקה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 דעתו של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 פוגלמן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עוד נקבע ב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1261/15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דלאל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03.09.2015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לעמוד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עוצמת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לעמוד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נסיבותיו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העובדתיות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שלפניו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ולבחון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להצביע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עובדתיות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מהוות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מבחני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עזר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לקביעת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עוצמת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הקשר</w:t>
      </w:r>
      <w:r>
        <w:rPr>
          <w:rFonts w:cs="Miriam" w:ascii="Calibri" w:hAnsi="Calibri"/>
          <w:rtl w:val="true"/>
        </w:rPr>
        <w:t>...</w:t>
      </w:r>
      <w:r>
        <w:rPr>
          <w:rFonts w:ascii="Calibri" w:hAnsi="Calibri" w:cs="Miriam"/>
          <w:rtl w:val="true"/>
        </w:rPr>
        <w:t>בבחינת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העובדתיות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ההכרח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להעמיד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לנגד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עיניו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השאלה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השקפה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אירועים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תהא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מלאכותית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שיגרע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ממהות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בכללותו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סיפור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כהוויתו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במקרה דנן אין חולק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ובצדק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המעשים מושא כתב האישום המתוקן בתיק זה מהווים אירוע אחד וכי המעשים מושא כתב האישום המתוקן בתיק הסמים המצורף מהווים אירוע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אקדים ואציין כי בגין כל אחד מהאירועים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ייקבע מתחם עונש הולם נפרד ובסופו של דבר יושת על הנאשם עונש כולל בגין שני האירועים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7537/16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מזרחי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cs="Miriam" w:ascii="Calibri" w:hAnsi="Calibri"/>
        </w:rPr>
        <w:t>30.1.17</w:t>
      </w:r>
      <w:r>
        <w:rPr>
          <w:rFonts w:cs="Miriam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  <w:rtl w:val="true"/>
        </w:rPr>
      </w:r>
    </w:p>
    <w:p>
      <w:pPr>
        <w:pStyle w:val="Normal"/>
        <w:spacing w:lineRule="auto" w:line="360" w:before="240" w:after="160"/>
        <w:ind w:start="1440" w:end="993"/>
        <w:jc w:val="both"/>
        <w:rPr>
          <w:rFonts w:ascii="Calibri" w:hAnsi="Calibri" w:cs="Calibri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בביטחונו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למשל</w:t>
      </w:r>
      <w:r>
        <w:rPr>
          <w:rFonts w:cs="Miriam"/>
          <w:rtl w:val="true"/>
        </w:rPr>
        <w:t xml:space="preserve">: </w:t>
      </w:r>
      <w:hyperlink r:id="rId5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2420/15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אבטליון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 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17-15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29.11.2015</w:t>
      </w:r>
      <w:r>
        <w:rPr>
          <w:rFonts w:cs="Miriam"/>
          <w:rtl w:val="true"/>
        </w:rPr>
        <w:t xml:space="preserve">); </w:t>
      </w:r>
      <w:hyperlink r:id="rId5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8465/14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כרכי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 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9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24.8.2015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בענייננו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שיסוו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הפקידה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בכסף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שהוטעם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המחוזי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מלאכתם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תקינה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משכך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הולמת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הפוטנציאליים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ושיהא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לנפוצות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Miriam"/>
          <w:rtl w:val="true"/>
        </w:rPr>
        <w:t>..."</w:t>
      </w:r>
      <w:r>
        <w:rPr>
          <w:rFonts w:cs="Miriam" w:ascii="Calibri" w:hAnsi="Calibri"/>
          <w:sz w:val="20"/>
          <w:szCs w:val="20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פסקה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התחבא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 </w:t>
      </w:r>
      <w:r>
        <w:rPr>
          <w:rtl w:val="true"/>
        </w:rPr>
        <w:t>חרוטים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3907/10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נעאמנה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23/03/2011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5780/13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16.7.14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אבו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עסקינן במערער שהורשע בביצוע עבירה של שוד בנסיבות מחמירות והחזקת סכין שלא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נכנס לחנות מכולת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 למוכר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כשבידו סכין שלופה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והורה לו למסור לידיו את כל הכסף שברשותו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הצמיד המערער את הסכין לצווארו של המוכר וחזר על הוראתו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המוכר מסר למערער את סכום הכסף בקופה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480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בשטרות וסכום נוסף במטבעות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הורה המערער למוכר להעביר לרשותו גם את הכסף שבמכנסיו וזה השיב לו כי אין ברשותו סכום 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 מסוים של השוד הצליח המוכר לאחוז בסכין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 שזה הניחה על דלפק החנות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ולהניפה לעבר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שאז נמלט המערער מהחנות כשבידיו הכסף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 בן אבו עסקינן במערער בעל עבר פלילי עשיר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העליון קבע בעניין בן אבו מתחם ענישה הולם בטווח שבין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תוך שהפחית את עונש המאסר בפועל שנגזר עליו מעונש של </w:t>
      </w: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לעונש של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6001/13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קסה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29.1.14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קסה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עסקינן בשוד חנות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 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בחיפה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 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סלע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קבע בגזר דינו מתחם ענישה הולם בטווח שבין שנתיים לחמש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 המשפט העליון לא התערב בקביעה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בעניין קסה לווה מעשה השוד גם בתקיפת המתלונן ובפגיעות בגופו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העונש שהושת בעניין קסה – עונש של 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– הותר על כנו על ידי בית המשפט 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62104-01-15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קטישיה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20.7.16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לפיצוצייה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חרמוניות</w:t>
      </w:r>
      <w:r>
        <w:rPr>
          <w:rtl w:val="true"/>
        </w:rPr>
        <w:t xml:space="preserve">, </w:t>
      </w:r>
      <w:r>
        <w:rPr>
          <w:rtl w:val="true"/>
        </w:rPr>
        <w:t>קסדה</w:t>
      </w:r>
      <w:r>
        <w:rPr>
          <w:rtl w:val="true"/>
        </w:rPr>
        <w:t xml:space="preserve">,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8,000</w:t>
      </w:r>
      <w:r>
        <w:rPr>
          <w:rtl w:val="true"/>
        </w:rPr>
        <w:t xml:space="preserve"> ₪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ומבחן</w:t>
      </w:r>
      <w:r>
        <w:rPr>
          <w:rtl w:val="true"/>
        </w:rPr>
        <w:t xml:space="preserve">).   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9079/16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מיארה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9.3.17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Fonts w:cs="Miriam"/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. .</w:t>
      </w:r>
      <w:r>
        <w:rPr>
          <w:rtl w:val="true"/>
        </w:rPr>
        <w:t xml:space="preserve">.". 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 xml:space="preserve">. 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ובחנתי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28219-11-13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2/1/14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37624-04-11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rFonts w:cs="Miriam"/>
          <w:rtl w:val="true"/>
        </w:rPr>
        <w:t>מלסה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5/7/11</w:t>
      </w:r>
      <w:r>
        <w:rPr>
          <w:rtl w:val="true"/>
        </w:rPr>
        <w:t xml:space="preserve">)),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3381/16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10.07.16</w:t>
      </w:r>
      <w:r>
        <w:rPr>
          <w:rtl w:val="true"/>
        </w:rPr>
        <w:t>):</w:t>
      </w:r>
      <w:r>
        <w:rPr>
          <w:rFonts w:cs="Miriam"/>
          <w:rtl w:val="true"/>
        </w:rPr>
        <w:t xml:space="preserve"> 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סולחה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בהסכמה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ולהשכין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לסולחה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433</w:t>
      </w:r>
      <w:r>
        <w:rPr>
          <w:rFonts w:cs="Miriam"/>
          <w:rtl w:val="true"/>
        </w:rPr>
        <w:t xml:space="preserve"> (</w:t>
      </w:r>
      <w:r>
        <w:rPr>
          <w:rFonts w:cs="Miriam"/>
          <w:rtl w:val="true"/>
        </w:rPr>
        <w:t>תשס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סולחה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סולחה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מכריע</w:t>
      </w:r>
      <w:r>
        <w:rPr>
          <w:rFonts w:cs="Miriam"/>
          <w:rtl w:val="true"/>
        </w:rPr>
        <w:t>...".</w:t>
      </w:r>
      <w:r>
        <w:rPr>
          <w:rFonts w:cs="Miriam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אזקוף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37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'(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84" w:start="992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56293-03-15</w:t>
        </w:r>
      </w:hyperlink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3.9.18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המצורף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17.1.18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20.2.18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8.3.18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352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352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המאפייה</w:t>
      </w:r>
      <w:r>
        <w:rPr>
          <w:rtl w:val="true"/>
        </w:rPr>
        <w:t xml:space="preserve">),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עינב איטסקו גולד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בויראת והנאשם  שהובא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34938-09-18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352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Times New Roman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4216/37a.a" TargetMode="External"/><Relationship Id="rId19" Type="http://schemas.openxmlformats.org/officeDocument/2006/relationships/hyperlink" Target="http://www.nevo.co.il/law/74918" TargetMode="External"/><Relationship Id="rId20" Type="http://schemas.openxmlformats.org/officeDocument/2006/relationships/hyperlink" Target="http://www.nevo.co.il/law/74918/47.a" TargetMode="External"/><Relationship Id="rId21" Type="http://schemas.openxmlformats.org/officeDocument/2006/relationships/hyperlink" Target="http://www.nevo.co.il/law/70301/402.b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340a.b.1" TargetMode="External"/><Relationship Id="rId27" Type="http://schemas.openxmlformats.org/officeDocument/2006/relationships/hyperlink" Target="http://www.nevo.co.il/law/70301/287.a" TargetMode="External"/><Relationship Id="rId28" Type="http://schemas.openxmlformats.org/officeDocument/2006/relationships/hyperlink" Target="http://www.nevo.co.il/case/23423563" TargetMode="External"/><Relationship Id="rId29" Type="http://schemas.openxmlformats.org/officeDocument/2006/relationships/hyperlink" Target="http://www.nevo.co.il/law/4216/13" TargetMode="External"/><Relationship Id="rId30" Type="http://schemas.openxmlformats.org/officeDocument/2006/relationships/hyperlink" Target="http://www.nevo.co.il/law/4216/19a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4216/7.a" TargetMode="External"/><Relationship Id="rId33" Type="http://schemas.openxmlformats.org/officeDocument/2006/relationships/hyperlink" Target="http://www.nevo.co.il/law/4216/7.c" TargetMode="External"/><Relationship Id="rId34" Type="http://schemas.openxmlformats.org/officeDocument/2006/relationships/hyperlink" Target="http://www.nevo.co.il/law/74918/47.a" TargetMode="External"/><Relationship Id="rId35" Type="http://schemas.openxmlformats.org/officeDocument/2006/relationships/hyperlink" Target="http://www.nevo.co.il/law/74918" TargetMode="External"/><Relationship Id="rId36" Type="http://schemas.openxmlformats.org/officeDocument/2006/relationships/hyperlink" Target="http://www.nevo.co.il/case/2366990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b" TargetMode="External"/><Relationship Id="rId39" Type="http://schemas.openxmlformats.org/officeDocument/2006/relationships/hyperlink" Target="http://www.nevo.co.il/case/6243627" TargetMode="External"/><Relationship Id="rId40" Type="http://schemas.openxmlformats.org/officeDocument/2006/relationships/hyperlink" Target="http://www.nevo.co.il/law/70301/40c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i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jc.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573417" TargetMode="External"/><Relationship Id="rId47" Type="http://schemas.openxmlformats.org/officeDocument/2006/relationships/hyperlink" Target="http://www.nevo.co.il/case/13093721" TargetMode="External"/><Relationship Id="rId48" Type="http://schemas.openxmlformats.org/officeDocument/2006/relationships/hyperlink" Target="http://www.nevo.co.il/case/20033641" TargetMode="External"/><Relationship Id="rId49" Type="http://schemas.openxmlformats.org/officeDocument/2006/relationships/hyperlink" Target="http://www.nevo.co.il/case/21479947" TargetMode="External"/><Relationship Id="rId50" Type="http://schemas.openxmlformats.org/officeDocument/2006/relationships/hyperlink" Target="http://www.nevo.co.il/case/20157961" TargetMode="External"/><Relationship Id="rId51" Type="http://schemas.openxmlformats.org/officeDocument/2006/relationships/hyperlink" Target="http://www.nevo.co.il/case/18720163" TargetMode="External"/><Relationship Id="rId52" Type="http://schemas.openxmlformats.org/officeDocument/2006/relationships/hyperlink" Target="http://www.nevo.co.il/case/5906249" TargetMode="External"/><Relationship Id="rId53" Type="http://schemas.openxmlformats.org/officeDocument/2006/relationships/hyperlink" Target="http://www.nevo.co.il/case/7980258" TargetMode="External"/><Relationship Id="rId54" Type="http://schemas.openxmlformats.org/officeDocument/2006/relationships/hyperlink" Target="http://www.nevo.co.il/case/10502090" TargetMode="External"/><Relationship Id="rId55" Type="http://schemas.openxmlformats.org/officeDocument/2006/relationships/hyperlink" Target="http://www.nevo.co.il/case/18857188" TargetMode="External"/><Relationship Id="rId56" Type="http://schemas.openxmlformats.org/officeDocument/2006/relationships/hyperlink" Target="http://www.nevo.co.il/case/21664419" TargetMode="External"/><Relationship Id="rId57" Type="http://schemas.openxmlformats.org/officeDocument/2006/relationships/hyperlink" Target="http://www.nevo.co.il/case/10481273" TargetMode="External"/><Relationship Id="rId58" Type="http://schemas.openxmlformats.org/officeDocument/2006/relationships/hyperlink" Target="http://www.nevo.co.il/case/4963785" TargetMode="External"/><Relationship Id="rId59" Type="http://schemas.openxmlformats.org/officeDocument/2006/relationships/hyperlink" Target="http://www.nevo.co.il/case/21473565" TargetMode="External"/><Relationship Id="rId60" Type="http://schemas.openxmlformats.org/officeDocument/2006/relationships/hyperlink" Target="http://www.nevo.co.il/law/4216/37a.a" TargetMode="External"/><Relationship Id="rId61" Type="http://schemas.openxmlformats.org/officeDocument/2006/relationships/hyperlink" Target="http://www.nevo.co.il/case/20176596" TargetMode="External"/><Relationship Id="rId62" Type="http://schemas.openxmlformats.org/officeDocument/2006/relationships/hyperlink" Target="http://www.nevo.co.il/law/70301/14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4216" TargetMode="External"/><Relationship Id="rId65" Type="http://schemas.openxmlformats.org/officeDocument/2006/relationships/hyperlink" Target="http://www.nevo.co.il/law/70301/144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4216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2020-01-01T14:02:00Z</dcterms:created>
  <dc:creator> </dc:creator>
  <dc:description/>
  <cp:keywords/>
  <dc:language>en-IL</dc:language>
  <cp:lastModifiedBy>yafit</cp:lastModifiedBy>
  <dcterms:modified xsi:type="dcterms:W3CDTF">2020-01-01T14:02:00Z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23423563;23669901;6243627;5573417;13093721;20033641;21479947;20157961;18720163;5906249;7980258;10502090;18857188;21664419;10481273;4963785;21473565;20176596</vt:lpwstr>
  </property>
  <property fmtid="{D5CDD505-2E9C-101B-9397-08002B2CF9AE}" pid="9" name="CITY">
    <vt:lpwstr>חי'</vt:lpwstr>
  </property>
  <property fmtid="{D5CDD505-2E9C-101B-9397-08002B2CF9AE}" pid="10" name="DATE">
    <vt:lpwstr>20190416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70301/402.b;025;144.b:2;340a.b.1;287.a;040b;040c;040i;40jc.b;144:2</vt:lpwstr>
  </property>
  <property fmtid="{D5CDD505-2E9C-101B-9397-08002B2CF9AE}" pid="15" name="LAWLISTTMP2">
    <vt:lpwstr>4216/013;019a;007.a;007.c;037a.a</vt:lpwstr>
  </property>
  <property fmtid="{D5CDD505-2E9C-101B-9397-08002B2CF9AE}" pid="16" name="LAWLISTTMP3">
    <vt:lpwstr>74918/047.a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34938</vt:lpwstr>
  </property>
  <property fmtid="{D5CDD505-2E9C-101B-9397-08002B2CF9AE}" pid="24" name="NEWPARTB">
    <vt:lpwstr>09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390020190416</vt:lpwstr>
  </property>
  <property fmtid="{D5CDD505-2E9C-101B-9397-08002B2CF9AE}" pid="36" name="TYPE_N_DATE">
    <vt:lpwstr>39020190416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