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45"/>
        <w:gridCol w:w="3578"/>
      </w:tblGrid>
      <w:tr>
        <w:trPr>
          <w:trHeight w:val="418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4945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3497-05-18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קובה</w:t>
            </w:r>
          </w:p>
        </w:tc>
        <w:tc>
          <w:tcPr>
            <w:tcW w:w="357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4162"/>
        <w:gridCol w:w="3326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שאול אבינור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</w:tc>
        <w:tc>
          <w:tcPr>
            <w:tcW w:w="33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73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הראל הרצל קובה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</w:tc>
        <w:tc>
          <w:tcPr>
            <w:tcW w:w="33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bookmarkStart w:id="4" w:name="Seif1"/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bookmarkEnd w:id="4"/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cs="Aria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רקע כללי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הוראות </w:t>
      </w:r>
      <w:hyperlink r:id="rId4">
        <w:bookmarkStart w:id="9" w:name="Seif2"/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bookmarkEnd w:id="9"/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 – חוק העונשין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ascii="David" w:hAnsi="David"/>
          <w:rtl w:val="true"/>
        </w:rPr>
        <w:t>כפי שנקבע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תיק בתא המטען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תופי ורימון הלם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 xml:space="preserve">סינוור </w:t>
      </w:r>
      <w:r>
        <w:rPr>
          <w:rFonts w:cs="David" w:ascii="David" w:hAnsi="David"/>
        </w:rPr>
        <w:t>959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יוטעם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נתגלעה לפניי מחלוקת לעניין עצם החזקת הנאשם באקדח וברימון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טענות ההגנה העיקריות היו לטעות כנה וסבירה של הנאשם ולהיעדר קיומו של היסוד הנפשי הנדרש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מתן הסבר להימצאות כלי הנשק ברכב בכך שבאותו המועד עזב הנאשם את ביתו והעביר את חפציו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 קונקרטי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בנוגע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במתנה שקיבל הנאשם מלקוח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 ה</w:t>
      </w:r>
      <w:r>
        <w:rPr>
          <w:rFonts w:ascii="David" w:hAnsi="David"/>
          <w:rtl w:val="true"/>
        </w:rPr>
        <w:t xml:space="preserve">חזיק </w:t>
      </w:r>
      <w:r>
        <w:rPr>
          <w:rFonts w:ascii="David" w:hAnsi="David"/>
          <w:rtl w:val="true"/>
        </w:rPr>
        <w:t xml:space="preserve">לצורך </w:t>
      </w:r>
      <w:r>
        <w:rPr>
          <w:rFonts w:ascii="David" w:hAnsi="David"/>
          <w:rtl w:val="true"/>
        </w:rPr>
        <w:t>קישוט ולא כאקדח שמסוגל לירות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גם שהאקדח לא היה 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 לרימון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נטל אותו בהיסח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הדעת במהלך שירות מילואים</w:t>
      </w:r>
      <w:r>
        <w:rPr>
          <w:rFonts w:ascii="David" w:hAnsi="David"/>
          <w:rtl w:val="true"/>
        </w:rPr>
        <w:t xml:space="preserve">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</w:t>
      </w:r>
      <w:r>
        <w:rPr>
          <w:rFonts w:ascii="David" w:hAnsi="David"/>
          <w:rtl w:val="true"/>
        </w:rPr>
        <w:t>שירותו ב</w:t>
      </w:r>
      <w:r>
        <w:rPr>
          <w:rFonts w:ascii="David" w:hAnsi="David"/>
          <w:rtl w:val="true"/>
        </w:rPr>
        <w:t>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והתכוון להשיבו בשירות המילואים הבא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בהכרעת הדין נדחו טענות ההגנה – והכל כמפורט </w:t>
      </w:r>
      <w:r>
        <w:rPr>
          <w:rFonts w:ascii="David" w:hAnsi="David"/>
          <w:rtl w:val="true"/>
        </w:rPr>
        <w:t xml:space="preserve">בהרחבה </w:t>
      </w:r>
      <w:r>
        <w:rPr>
          <w:rFonts w:ascii="David" w:hAnsi="David"/>
          <w:rtl w:val="true"/>
        </w:rPr>
        <w:t>שם – ולפיכך הורשע הנאשם 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גרסתו של הנאשם </w:t>
      </w:r>
      <w:r>
        <w:rPr>
          <w:rFonts w:ascii="David" w:hAnsi="David"/>
          <w:rtl w:val="true"/>
        </w:rPr>
        <w:t xml:space="preserve">שלפיה הוא </w:t>
      </w:r>
      <w:r>
        <w:rPr>
          <w:rFonts w:ascii="David" w:hAnsi="David"/>
          <w:rtl w:val="true"/>
        </w:rPr>
        <w:t>החזיק באקדח לשם נוי נתקבלה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 משום שהאקדח הוחזק ללא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שאוזכר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משמעות הדבר היא – בהתאם להלכה הפסוקה – כי מדובר בעבירה של החזקת נשק המצויה כמעט ברף החומרה הנמוך ביותר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</w:t>
      </w:r>
      <w:bookmarkStart w:id="11" w:name="Seif5"/>
      <w:r>
        <w:rPr>
          <w:rFonts w:ascii="David" w:hAnsi="David"/>
          <w:rtl w:val="true"/>
        </w:rPr>
        <w:t xml:space="preserve">פסקאות </w:t>
      </w:r>
      <w:bookmarkEnd w:id="11"/>
      <w:r>
        <w:rPr>
          <w:rFonts w:cs="David" w:ascii="David" w:hAnsi="David"/>
        </w:rPr>
        <w:t>30-29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עוד יש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שני ברגי בית ההדקים שבאקדח היו משוחררים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שהאקדח לא היה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</w:t>
      </w:r>
      <w:r>
        <w:rPr>
          <w:rFonts w:ascii="David" w:hAnsi="David"/>
          <w:rtl w:val="true"/>
        </w:rPr>
        <w:t xml:space="preserve">בתיקון קל של הידוקם ירה האקדח בצורה תקינה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</w:t>
      </w:r>
      <w:bookmarkStart w:id="12" w:name="Seif3"/>
      <w:r>
        <w:rPr>
          <w:rFonts w:ascii="David" w:hAnsi="David"/>
          <w:rtl w:val="true"/>
        </w:rPr>
        <w:t xml:space="preserve">פסקה </w:t>
      </w:r>
      <w:bookmarkEnd w:id="12"/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left" w:pos="720" w:leader="none"/>
        </w:tabs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תסקיר שירות מבחן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העניין נעתרתי לבקשת ההגנה להורות על עריכת 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התסקיר שנערך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31.10.19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</w:t>
      </w:r>
      <w:bookmarkStart w:id="13" w:name="Seif6"/>
      <w:r>
        <w:rPr>
          <w:rFonts w:ascii="David" w:hAnsi="David"/>
          <w:rtl w:val="true"/>
        </w:rPr>
        <w:t xml:space="preserve">פרט בהרחבה </w:t>
      </w:r>
      <w:bookmarkEnd w:id="13"/>
      <w:r>
        <w:rPr>
          <w:rFonts w:ascii="David" w:hAnsi="David"/>
          <w:rtl w:val="true"/>
        </w:rPr>
        <w:t>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שנת </w:t>
      </w:r>
      <w:r>
        <w:rPr>
          <w:rFonts w:cs="David" w:ascii="David" w:hAnsi="David"/>
        </w:rPr>
        <w:t>1987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כיום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גרוש ואב לשתי בנות קטנות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המתגורר מאז גירושיו בבית סבתו שבתל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אביב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שירת שירות מלא כלוחם במשמר הגבול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ממשיך לשרת בתפקידו ב</w:t>
      </w:r>
      <w:r>
        <w:rPr>
          <w:rFonts w:ascii="David" w:hAnsi="David"/>
          <w:rtl w:val="true"/>
        </w:rPr>
        <w:t xml:space="preserve">מסגרת </w:t>
      </w:r>
      <w:r>
        <w:rPr>
          <w:rFonts w:ascii="David" w:hAnsi="David"/>
          <w:rtl w:val="true"/>
        </w:rPr>
        <w:t>שירות המילואים וכיום מתפרנס כעצמאי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מסטודיו לקעקועים שבבעלותו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כי הנאשם הוא גבר שניהל וממשיך לנהל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שכיום – למרות שניהל הליך הוכחות – מבין את הסיכון שהיה כרוך בהתנהלותו ונוטל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לנסות להצדיקם בנסיבות מקלות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הפיק את הלקחים הנדרשים – לרקע ההליך המשפטי שהיה בעל ממד מרתיע ואף מעורר בושה מבחינתו – ולפיכך הוא אינו נמצא בסיכון לחזור ולהסתבך בביצוע 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התרשמותו החיובית מהנאשם המליץ שירות המבחן לשקול את ביטול הרשעתו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שציין כי אף הנאשם עצמו לא טען לפגיעה תעסוקתית אפשרית עקב 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בנוסף המליץ שירות המבחן על ענישה שתכלול </w:t>
      </w:r>
      <w:r>
        <w:rPr>
          <w:rFonts w:cs="David" w:ascii="David" w:hAnsi="David"/>
        </w:rPr>
        <w:t>260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שירות לתועלת הציבור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שציין כי הנאשם ביטא נכונות למכסת שעות גבוהה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הראיות לקביעת העונש ותמצית 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 הצדדים לא הגישו ראיות לקביעת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בטיעוניו לעונש 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על חומרתה הרבה של העבירה בה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שביצועה פוגע בערכים החברתיים של הגנה על שלום הציבור וביטחונו והגנה על הסדר הציבורי מפני שימוש בכלי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לשיטת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שבית המשפט קיבל את טענת הנאשם שלפיה הוא החזיק באקדח לשם 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בכך כדי לאיין את הפגיעה בערכים החברתיים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 בשל היעדר הפיקוח על כלי נשק המוחזקים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החזיק גם ברימון הלם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על אף </w:t>
      </w:r>
      <w:r>
        <w:rPr>
          <w:rFonts w:ascii="David" w:hAnsi="David"/>
          <w:rtl w:val="true"/>
        </w:rPr>
        <w:t>שהוא משרת במג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בשירות מילואים פעיל ו</w:t>
      </w:r>
      <w:r>
        <w:rPr>
          <w:rFonts w:ascii="David" w:hAnsi="David"/>
          <w:rtl w:val="true"/>
        </w:rPr>
        <w:t xml:space="preserve">לפיכך </w:t>
      </w:r>
      <w:r>
        <w:rPr>
          <w:rFonts w:ascii="David" w:hAnsi="David"/>
          <w:rtl w:val="true"/>
        </w:rPr>
        <w:t>מודע היטב לסיכונים הטמונים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 ותוך הפנייה לפסיקה מחמירה 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לקביעת מתחם עונש הולם שבין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שניתן לשאתם בדרך של עבודות שירות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 לטיעו</w:t>
      </w:r>
      <w:r>
        <w:rPr>
          <w:rFonts w:ascii="David" w:hAnsi="David"/>
          <w:rtl w:val="true"/>
        </w:rPr>
        <w:t>נו</w:t>
      </w:r>
      <w:r>
        <w:rPr>
          <w:rFonts w:ascii="David" w:hAnsi="David"/>
          <w:rtl w:val="true"/>
        </w:rPr>
        <w:t xml:space="preserve">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לא מתקיימות במקרה </w:t>
      </w:r>
      <w:r>
        <w:rPr>
          <w:rFonts w:ascii="David" w:hAnsi="David"/>
          <w:rtl w:val="true"/>
        </w:rPr>
        <w:t>דנא</w:t>
      </w:r>
      <w:r>
        <w:rPr>
          <w:rFonts w:ascii="David" w:hAnsi="David"/>
          <w:rtl w:val="true"/>
        </w:rPr>
        <w:t xml:space="preserve"> הנסיבות העשויות להצדיק את ביטול הרשעת הנאשם בדין ו</w:t>
      </w:r>
      <w:r>
        <w:rPr>
          <w:rFonts w:ascii="David" w:hAnsi="David"/>
          <w:rtl w:val="true"/>
        </w:rPr>
        <w:t xml:space="preserve">לפיכך </w:t>
      </w:r>
      <w:r>
        <w:rPr>
          <w:rFonts w:ascii="David" w:hAnsi="David"/>
          <w:rtl w:val="true"/>
        </w:rPr>
        <w:t>עתר להותרת ההרשעה על 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נוכח משך ההחזקה והעובדה שמדובר גם באקדח וגם ברימון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למיקום הנאשם בתוך מתחם העונש ההולם ציין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בהגינותו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נסיבות הקולה – היעדר עבר פלילי והתרשמותו החיובית של שירות המבחן – ממקמות את הנאשם בתוך מתחם העונש ההולם אך ברף הנמוך שלו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לאימוץ המלצות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ביטול הרשעת הנאשם בדין והסתפקות בענישה של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הדגיש את הנורמטיביות של מרשו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מלח הארץ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משרת את המדינה בנאמנות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בשירות מילואים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ועובד לפרנסתו ולפרנסת בנותיו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הזכיר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הדברים החיוביים שאמרה החוקרת בתיק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בפרוטוקול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שורה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ואילך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על הנסיבות המקלות של החזקת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שנמצא במצב בלתי תקין לירי וללא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ובנסיבות אלה </w:t>
      </w:r>
      <w:r>
        <w:rPr>
          <w:rFonts w:ascii="David" w:hAnsi="David"/>
          <w:rtl w:val="true"/>
        </w:rPr>
        <w:t xml:space="preserve">טען כי </w:t>
      </w:r>
      <w:r>
        <w:rPr>
          <w:rFonts w:ascii="David" w:hAnsi="David"/>
          <w:rtl w:val="true"/>
        </w:rPr>
        <w:t>לא נשקף כל סיכון</w:t>
      </w:r>
      <w:r>
        <w:rPr>
          <w:rFonts w:ascii="David" w:hAnsi="David"/>
          <w:rtl w:val="true"/>
        </w:rPr>
        <w:t xml:space="preserve"> מהחזקתו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מהחזקת הרימון לא נשקף 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התכוון להשיבו לרשות הצבא בשירות המילואים הבא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לטענת 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 המחמירה אליה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אינה רלוואנטית לעניינו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שאין מקום להשית עליו עונש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חמור מ</w:t>
      </w:r>
      <w:r>
        <w:rPr>
          <w:rFonts w:ascii="David" w:hAnsi="David"/>
          <w:rtl w:val="true"/>
        </w:rPr>
        <w:t xml:space="preserve">עונש של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רקע זה </w:t>
      </w:r>
      <w:r>
        <w:rPr>
          <w:rFonts w:ascii="David" w:hAnsi="David"/>
          <w:rtl w:val="true"/>
        </w:rPr>
        <w:t xml:space="preserve">חזר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ascii="David" w:hAnsi="David"/>
          <w:rtl w:val="true"/>
        </w:rPr>
        <w:t xml:space="preserve">ועתר </w:t>
      </w:r>
      <w:r>
        <w:rPr>
          <w:rFonts w:ascii="David" w:hAnsi="David"/>
          <w:rtl w:val="true"/>
        </w:rPr>
        <w:t>לאימוץ המלצות שירות המבחן ולחילופין – ככל שבית המשפט לא יאמץ את ההמלצה לביטול ההרשעה – להסתפק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בענישה של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סוגיית ההרשעה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bookmarkStart w:id="14" w:name="Seif7"/>
      <w:r>
        <w:rPr>
          <w:rFonts w:ascii="David" w:hAnsi="David"/>
          <w:rtl w:val="true"/>
        </w:rPr>
        <w:t xml:space="preserve">כלל הדין </w:t>
      </w:r>
      <w:bookmarkEnd w:id="14"/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משהוכחו בבית המשפט עובדות המגבשות עבירה פלילית על בית המשפט להרשיע את הנאשם בעבירה הרלוואנטית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האפשרות לנקוט בדרך של הימנעות מהרשעה בדין היא אפשרות חריגה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השמורה למקרים מיוחדים ויוצאי דופן בהם מתקיימים שני התנאים המצטברים אשר נקבעו ב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2083/96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כתב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נב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337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 xml:space="preserve">להלן – הלכת 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ההרשעה לפגוע פגיעה חמורה בשיקום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העבירה מאפשר לוותר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המקרה המסוים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ההרשעה מבלי לפגוע באופן מהותי בשיקולי הענישה האחרים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342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יוטעם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הלכת 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ascii="David" w:hAnsi="David"/>
          <w:rtl w:val="true"/>
        </w:rPr>
        <w:t xml:space="preserve"> היא הלכה פסוקה מושרשת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שרק לאחרונה שב בית המשפט העליון וחזר עליה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2403/19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07.04.19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פני הדברים התנאי הראשון לביטול הרשעה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שנקבע בהלכת 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מתקיים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שהרי אף הנאשם עצמו לא טען לפגיעה קונקרטית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תעסוקתית </w:t>
      </w:r>
      <w:r>
        <w:rPr>
          <w:rFonts w:ascii="David" w:hAnsi="David"/>
          <w:rtl w:val="true"/>
        </w:rPr>
        <w:t xml:space="preserve">כלשהי </w:t>
      </w:r>
      <w:r>
        <w:rPr>
          <w:rFonts w:ascii="David" w:hAnsi="David"/>
          <w:rtl w:val="true"/>
        </w:rPr>
        <w:t>כתוצאה מההרשעה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נראה </w:t>
      </w:r>
      <w:r>
        <w:rPr>
          <w:rFonts w:ascii="David" w:hAnsi="David"/>
          <w:rtl w:val="true"/>
        </w:rPr>
        <w:t xml:space="preserve">לכאורה </w:t>
      </w:r>
      <w:r>
        <w:rPr>
          <w:rFonts w:ascii="David" w:hAnsi="David"/>
          <w:rtl w:val="true"/>
        </w:rPr>
        <w:t>כי אף התנאי השני אינו מתקיים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לכף קולה יש לציין כי האקדח הוחזק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הנאשם לצרכי 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הרימון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 xml:space="preserve">רימון הלם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להבדיל מרימון רסס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כאשר טענת הנאשם שלפיה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התכוון להשיבו לצבא לא נסתרה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בעיקר </w:t>
      </w:r>
      <w:r>
        <w:rPr>
          <w:rFonts w:ascii="David" w:hAnsi="David"/>
          <w:rtl w:val="true"/>
        </w:rPr>
        <w:t>נוכח העובדה שמדובר בהחזקת שני כלי נשק</w:t>
      </w:r>
      <w:r>
        <w:rPr>
          <w:rFonts w:ascii="David" w:hAnsi="David"/>
          <w:rtl w:val="true"/>
        </w:rPr>
        <w:t xml:space="preserve">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נראה כי </w:t>
      </w:r>
      <w:r>
        <w:rPr>
          <w:rFonts w:ascii="David" w:hAnsi="David"/>
          <w:rtl w:val="true"/>
        </w:rPr>
        <w:t xml:space="preserve">נסיבות המקרה </w:t>
      </w:r>
      <w:r>
        <w:rPr>
          <w:rFonts w:ascii="David" w:hAnsi="David"/>
          <w:rtl w:val="true"/>
        </w:rPr>
        <w:t xml:space="preserve">הספציפיות </w:t>
      </w:r>
      <w:r>
        <w:rPr>
          <w:rFonts w:ascii="David" w:hAnsi="David"/>
          <w:rtl w:val="true"/>
        </w:rPr>
        <w:t>אינן מאפשרות לוותר על 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המסקנה המתבקשת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להותיר את הרשעת הנאשם בדין על כנה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napToGrid w:val="false"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בעת גזירת עונשו של נאשם על בית המשפט לקבוע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מתחם העונש ההולם לאירוע שבגינו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בהתאם לעיקרון ההלימה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יתחשב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בערכים החברתיים שנפגעו מביצוע העבירות ובמידת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לערכים החברתיים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 כתולדה מביצוע העביר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מקובל עליי טיעון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ascii="David" w:hAnsi="David"/>
          <w:rtl w:val="true"/>
        </w:rPr>
        <w:t xml:space="preserve"> במלואו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לשים כי העבירה דנא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דהיינו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העבירה של החזקת נשק שלא כדין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היא עבירה שמעצם טיבה וטבעה חובקת בחובה מגוון רחב של מצבי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חומרה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שביניהם קיימים הבדלים ניכרים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והכל כפי שנקבע עוד 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David" w:ascii="David" w:hAnsi="David"/>
            <w:color w:val="0000FF"/>
            <w:u w:val="single"/>
          </w:rPr>
          <w:t>625/82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מחמוד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לז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668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671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1982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שבדרך </w:t>
      </w:r>
      <w:bookmarkStart w:id="15" w:name="Seif8"/>
      <w:r>
        <w:rPr>
          <w:rFonts w:ascii="David" w:hAnsi="David"/>
          <w:rtl w:val="true"/>
        </w:rPr>
        <w:t xml:space="preserve">כלל מדובר </w:t>
      </w:r>
      <w:bookmarkEnd w:id="15"/>
      <w:r>
        <w:rPr>
          <w:rFonts w:ascii="David" w:hAnsi="David"/>
          <w:rtl w:val="true"/>
        </w:rPr>
        <w:t>בעבירה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שרף הענישה התחתון בה עומד על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לכל הפחות לתקופה שניתן לשאתה בדרך של עבודות שירות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ישנם מקרים שבהם הושתה בגין העבירה של החזקת נשק ענישה מקלה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לשל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 נעשה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ק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28892-11-15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חדד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20.11.2016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שבו דובר בהחזקת שני רימוני יד </w:t>
      </w:r>
      <w:r>
        <w:rPr>
          <w:rFonts w:cs="David" w:ascii="David" w:hAnsi="David"/>
          <w:rtl w:val="true"/>
        </w:rPr>
        <w:t>(!)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תחמושת ובעבירה נוספת של הכשלת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לדוגמאות נוספות ר</w:t>
      </w:r>
      <w:r>
        <w:rPr>
          <w:rFonts w:cs="David" w:ascii="David" w:hAnsi="David"/>
          <w:rtl w:val="true"/>
        </w:rPr>
        <w:t xml:space="preserve">'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51094-10-14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בן עמי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20.04.2015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48347-12-12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הדרה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26.01.2015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רקע זה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ובהתחשב בנסיבות הקולה של עבירת ההחזקה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שכבר צוינו ב</w:t>
      </w:r>
      <w:bookmarkStart w:id="16" w:name="Seif4"/>
      <w:r>
        <w:rPr>
          <w:rFonts w:ascii="David" w:hAnsi="David"/>
          <w:rtl w:val="true"/>
        </w:rPr>
        <w:t xml:space="preserve">פסקה </w:t>
      </w:r>
      <w:bookmarkEnd w:id="16"/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דלעיל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אני קובע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מתחם העונש ההולם </w:t>
      </w:r>
      <w:r>
        <w:rPr>
          <w:rFonts w:ascii="David" w:hAnsi="David"/>
          <w:rtl w:val="true"/>
        </w:rPr>
        <w:t xml:space="preserve">במקרה </w:t>
      </w:r>
      <w:r>
        <w:rPr>
          <w:rFonts w:ascii="David" w:hAnsi="David"/>
          <w:rtl w:val="true"/>
        </w:rPr>
        <w:t xml:space="preserve">דנא בין </w:t>
      </w:r>
      <w:r>
        <w:rPr>
          <w:rFonts w:ascii="David" w:hAnsi="David"/>
          <w:rtl w:val="true"/>
        </w:rPr>
        <w:t xml:space="preserve">ענישה צופה פני עתיד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napToGrid w:val="false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הרלוואנטיות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התורם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שהתרשמות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לתרצם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Tahoma" w:hAnsi="Tahoma" w:cs="Tahoma"/>
        </w:rPr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Tahoma" w:hAnsi="Tahoma" w:cs="Tahoma"/>
        </w:rPr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שירות לתועלת הציבור בהיקף של </w:t>
      </w:r>
      <w:r>
        <w:rPr>
          <w:rFonts w:cs="Calibri" w:ascii="Calibri" w:hAnsi="Calibri"/>
        </w:rPr>
        <w:t>260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השירות יבוצע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לתכנית שגיבש שירות המבחן ב</w:t>
      </w:r>
      <w:r>
        <w:rPr>
          <w:rFonts w:ascii="Calibri" w:hAnsi="Calibri" w:cs="Calibri"/>
          <w:rtl w:val="true"/>
        </w:rPr>
        <w:t xml:space="preserve">תסקיר מיום </w:t>
      </w:r>
      <w:r>
        <w:rPr>
          <w:rFonts w:cs="Calibri" w:ascii="Calibri" w:hAnsi="Calibri"/>
        </w:rPr>
        <w:t>31.10.19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החל ביום </w:t>
      </w:r>
      <w:r>
        <w:rPr>
          <w:rFonts w:cs="Calibri" w:ascii="Calibri" w:hAnsi="Calibri"/>
        </w:rPr>
        <w:t>15.01.20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start="1440" w:end="0"/>
        <w:jc w:val="both"/>
        <w:rPr/>
      </w:pPr>
      <w:r>
        <w:rPr>
          <w:rFonts w:ascii="Calibri" w:hAnsi="Calibri" w:cs="Calibri"/>
          <w:rtl w:val="true"/>
        </w:rPr>
        <w:t xml:space="preserve">מובהר בזה לנאשם כי אם הוא לא ימלא אחר </w:t>
      </w:r>
      <w:r>
        <w:rPr>
          <w:rFonts w:ascii="Calibri" w:hAnsi="Calibri" w:cs="Calibri"/>
          <w:rtl w:val="true"/>
        </w:rPr>
        <w:t xml:space="preserve">הוראות </w:t>
      </w:r>
      <w:r>
        <w:rPr>
          <w:rFonts w:ascii="Calibri" w:hAnsi="Calibri" w:cs="Calibri"/>
          <w:rtl w:val="true"/>
        </w:rPr>
        <w:t>צו השירות יהא בית המשפט 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 את צו השירות ולהטיל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</w:t>
      </w:r>
      <w:r>
        <w:rPr>
          <w:rFonts w:ascii="Calibri" w:hAnsi="Calibri" w:cs="Calibri"/>
          <w:rtl w:val="true"/>
        </w:rPr>
        <w:t>ם צו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 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מוצגים</w:t>
      </w:r>
      <w:r>
        <w:rPr>
          <w:rtl w:val="true"/>
        </w:rPr>
        <w:t xml:space="preserve">,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snapToGrid w:val="false"/>
        <w:spacing w:lineRule="auto" w:line="360" w:before="0" w:after="12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Tahoma" w:hAnsi="Tahoma" w:cs="Tahoma"/>
        </w:rPr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7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7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שאול אבינור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3497-05-18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הראל הרצל קובה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b w:val="false"/>
        <w:bCs w:val="false"/>
        <w:rFonts w:cs="David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  <w:lang w:val="en-US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10781" TargetMode="External"/><Relationship Id="rId7" Type="http://schemas.openxmlformats.org/officeDocument/2006/relationships/hyperlink" Target="http://www.nevo.co.il/case/25595514" TargetMode="External"/><Relationship Id="rId8" Type="http://schemas.openxmlformats.org/officeDocument/2006/relationships/hyperlink" Target="http://www.nevo.co.il/case/17929065" TargetMode="External"/><Relationship Id="rId9" Type="http://schemas.openxmlformats.org/officeDocument/2006/relationships/hyperlink" Target="http://www.nevo.co.il/case/20724837" TargetMode="External"/><Relationship Id="rId10" Type="http://schemas.openxmlformats.org/officeDocument/2006/relationships/hyperlink" Target="http://www.nevo.co.il/case/18668864" TargetMode="External"/><Relationship Id="rId11" Type="http://schemas.openxmlformats.org/officeDocument/2006/relationships/hyperlink" Target="http://www.nevo.co.il/case/4123745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2019-12-08T13:10:00Z</dcterms:created>
  <dc:creator> </dc:creator>
  <dc:description/>
  <cp:keywords/>
  <dc:language>en-IL</dc:language>
  <cp:lastModifiedBy>h10</cp:lastModifiedBy>
  <dcterms:modified xsi:type="dcterms:W3CDTF">2019-12-08T13:10:00Z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הראל הרצל קובה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ProcID=213&amp;PartA=30&amp;PartC=29</vt:lpwstr>
  </property>
  <property fmtid="{D5CDD505-2E9C-101B-9397-08002B2CF9AE}" pid="9" name="CASESLISTTMP1">
    <vt:lpwstr>5810781;25595514;17929065;20724837;18668864;4123745</vt:lpwstr>
  </property>
  <property fmtid="{D5CDD505-2E9C-101B-9397-08002B2CF9AE}" pid="10" name="CITY">
    <vt:lpwstr>ת"א</vt:lpwstr>
  </property>
  <property fmtid="{D5CDD505-2E9C-101B-9397-08002B2CF9AE}" pid="11" name="DATE">
    <vt:lpwstr>20191204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שאול אבינור</vt:lpwstr>
  </property>
  <property fmtid="{D5CDD505-2E9C-101B-9397-08002B2CF9AE}" pid="15" name="LAWLISTTMP1">
    <vt:lpwstr>70301/144.a</vt:lpwstr>
  </property>
  <property fmtid="{D5CDD505-2E9C-101B-9397-08002B2CF9AE}" pid="16" name="LAWYER">
    <vt:lpwstr>דרור לוי;ירום הלוי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3497</vt:lpwstr>
  </property>
  <property fmtid="{D5CDD505-2E9C-101B-9397-08002B2CF9AE}" pid="23" name="NEWPARTB">
    <vt:lpwstr>05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380020191204</vt:lpwstr>
  </property>
  <property fmtid="{D5CDD505-2E9C-101B-9397-08002B2CF9AE}" pid="35" name="TYPE_N_DATE">
    <vt:lpwstr>38020191204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