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35105-06-12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יהאד מחמוד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המאשימה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שרית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מזרחי</w:t>
      </w:r>
    </w:p>
    <w:p>
      <w:pPr>
        <w:pStyle w:val="12"/>
        <w:ind w:end="0"/>
        <w:jc w:val="start"/>
        <w:rPr>
          <w:rStyle w:val="12-h1"/>
          <w:u w:val="none"/>
        </w:rPr>
      </w:pPr>
      <w:r>
        <w:rPr>
          <w:rStyle w:val="12-h1"/>
          <w:b/>
          <w:bCs/>
          <w:u w:val="none"/>
          <w:rtl w:val="true"/>
        </w:rPr>
        <w:t>מטעם הנאשם</w:t>
      </w:r>
      <w:r>
        <w:rPr>
          <w:rStyle w:val="12-h1"/>
          <w:b/>
          <w:bCs/>
          <w:u w:val="none"/>
          <w:rtl w:val="true"/>
        </w:rPr>
        <w:t xml:space="preserve">: </w:t>
      </w:r>
      <w:r>
        <w:rPr>
          <w:rStyle w:val="12-h1"/>
          <w:b/>
          <w:bCs/>
          <w:u w:val="none"/>
          <w:rtl w:val="true"/>
        </w:rPr>
        <w:t>הובא וע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>י ב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>כ עו</w:t>
      </w:r>
      <w:r>
        <w:rPr>
          <w:rStyle w:val="12-h1"/>
          <w:b/>
          <w:bCs/>
          <w:u w:val="none"/>
          <w:rtl w:val="true"/>
        </w:rPr>
        <w:t>"</w:t>
      </w:r>
      <w:r>
        <w:rPr>
          <w:rStyle w:val="12-h1"/>
          <w:b/>
          <w:bCs/>
          <w:u w:val="none"/>
          <w:rtl w:val="true"/>
        </w:rPr>
        <w:t>ד פארס ג</w:t>
      </w:r>
      <w:r>
        <w:rPr>
          <w:rStyle w:val="12-h1"/>
          <w:b/>
          <w:bCs/>
          <w:u w:val="none"/>
          <w:rtl w:val="true"/>
        </w:rPr>
        <w:t>'</w:t>
      </w:r>
      <w:r>
        <w:rPr>
          <w:rStyle w:val="12-h1"/>
          <w:b/>
          <w:bCs/>
          <w:u w:val="none"/>
          <w:rtl w:val="true"/>
        </w:rPr>
        <w:t>ראיס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Style w:val="12-h1"/>
          <w:rFonts w:ascii="FrankRuehl" w:hAnsi="FrankRuehl" w:cs="FrankRuehl"/>
          <w:u w:val="none"/>
        </w:rPr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Style w:val="12-h1"/>
          <w:rFonts w:ascii="FrankRuehl" w:hAnsi="FrankRuehl" w:cs="FrankRuehl"/>
          <w:u w:val="none"/>
        </w:rPr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  <w:tab/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rtl w:val="true"/>
          </w:rPr>
          <w:t>-(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auto" w:line="360"/>
        <w:ind w:firstLine="36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360" w:end="0"/>
        <w:jc w:val="both"/>
        <w:rPr/>
      </w:pPr>
      <w:bookmarkStart w:id="8" w:name="PsakDin"/>
      <w:bookmarkEnd w:id="8"/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עבירות בנשק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, </w:t>
      </w:r>
      <w:r>
        <w:rPr>
          <w:rtl w:val="true"/>
        </w:rPr>
        <w:t>הובלה והחזקה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18"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>בעבירה של ניסיון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 של יריות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הסדר הטיעון</w:t>
      </w:r>
      <w:r>
        <w:rPr>
          <w:rtl w:val="true"/>
        </w:rPr>
        <w:t xml:space="preserve">, </w:t>
      </w:r>
      <w:r>
        <w:rPr>
          <w:rtl w:val="true"/>
        </w:rPr>
        <w:t>הנאשם חזר בו מכפירתו</w:t>
      </w:r>
      <w:r>
        <w:rPr>
          <w:rtl w:val="true"/>
        </w:rPr>
        <w:t xml:space="preserve">, </w:t>
      </w:r>
      <w:r>
        <w:rPr>
          <w:rtl w:val="true"/>
        </w:rPr>
        <w:t>הודה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והורשע בעבירה המיוחסת לו</w:t>
      </w:r>
      <w:r>
        <w:rPr>
          <w:rtl w:val="true"/>
        </w:rPr>
        <w:t xml:space="preserve">. </w:t>
      </w:r>
      <w:r>
        <w:rPr>
          <w:rtl w:val="true"/>
        </w:rPr>
        <w:t>כן נשלח הנאשם לשירות המבחן לשם קבלת תסקיר בעניינו</w:t>
      </w:r>
      <w:r>
        <w:rPr>
          <w:rtl w:val="true"/>
        </w:rPr>
        <w:t xml:space="preserve">. </w:t>
      </w:r>
      <w:r>
        <w:rPr>
          <w:rtl w:val="true"/>
        </w:rPr>
        <w:t>באשר לעונש</w:t>
      </w:r>
      <w:r>
        <w:rPr>
          <w:rtl w:val="true"/>
        </w:rPr>
        <w:t xml:space="preserve">, </w:t>
      </w:r>
      <w:r>
        <w:rPr>
          <w:rtl w:val="true"/>
        </w:rPr>
        <w:t>הצדדים טענו באופן 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כארם חטיב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 xml:space="preserve">מתגורר בבית בשכונת אל בשארה בנצרת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 xml:space="preserve">ביום </w:t>
      </w:r>
      <w:r>
        <w:rPr/>
        <w:t>6.6.12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התפתח ויכוח בין ילדיו של המתלונן לבין הנאשם ובן דודו בשם מוחמד עבאס</w:t>
      </w:r>
      <w:r>
        <w:rPr>
          <w:rtl w:val="true"/>
        </w:rPr>
        <w:t xml:space="preserve">, </w:t>
      </w:r>
      <w:r>
        <w:rPr>
          <w:rtl w:val="true"/>
        </w:rPr>
        <w:t>על רקע העובדה שהנאשם ומוחמד עבאס שמעו כי המתלונן חושד בהם כי פרצו לביתו ולבית אחיו</w:t>
      </w:r>
      <w:r>
        <w:rPr>
          <w:rtl w:val="true"/>
        </w:rPr>
        <w:t xml:space="preserve">. </w:t>
      </w:r>
      <w:r>
        <w:rPr>
          <w:rtl w:val="true"/>
        </w:rPr>
        <w:t>המתלונן שמע את הויכוח והורה לילדיו להיכנס אל הבית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יצא המתלונן את הבית למכולת על מנת לרכוש מספר פריטים</w:t>
      </w:r>
      <w:r>
        <w:rPr>
          <w:rtl w:val="true"/>
        </w:rPr>
        <w:t xml:space="preserve">. </w:t>
      </w:r>
      <w:r>
        <w:rPr>
          <w:rtl w:val="true"/>
        </w:rPr>
        <w:t>כשעשה את דרכו חזרה</w:t>
      </w:r>
      <w:r>
        <w:rPr>
          <w:rtl w:val="true"/>
        </w:rPr>
        <w:t xml:space="preserve">, </w:t>
      </w:r>
      <w:r>
        <w:rPr>
          <w:rtl w:val="true"/>
        </w:rPr>
        <w:t>כשהוא נוהג ברכבו מסוג יונדאי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24-345-10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הבחין המתלונן בנאשם ובאדם נוסף על הכביש</w:t>
      </w:r>
      <w:r>
        <w:rPr>
          <w:rtl w:val="true"/>
        </w:rPr>
        <w:t xml:space="preserve">. </w:t>
      </w:r>
      <w:r>
        <w:rPr>
          <w:rtl w:val="true"/>
        </w:rPr>
        <w:t>הנאשם אחז בידו באקדח וירה ממנו מספר כדורים לעבר הרכב במטרה לפצוע את המתלונן שישב ברכב</w:t>
      </w:r>
      <w:r>
        <w:rPr>
          <w:rtl w:val="true"/>
        </w:rPr>
        <w:t xml:space="preserve">. </w:t>
      </w:r>
      <w:r>
        <w:rPr>
          <w:rtl w:val="true"/>
        </w:rPr>
        <w:t>הנאשם רץ בעקבות הרכב והוסיף לירות מהאקדח גם כשהמתלונן נמלט לכיוון הבית</w:t>
      </w:r>
      <w:r>
        <w:rPr>
          <w:rtl w:val="true"/>
        </w:rPr>
        <w:t xml:space="preserve">. </w:t>
      </w:r>
      <w:r>
        <w:rPr>
          <w:rtl w:val="true"/>
        </w:rPr>
        <w:t>אחד מהכדורים פגע בתא המטען של הרכב ונגרם נזק לרכבים נוספים שחנו סמוך למקום האירוע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נפגע קיר חיצוני של אחד הבתים 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תסקיר שירות המבחן שנערך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הוא למד בבית ספר מקצועי</w:t>
      </w:r>
      <w:r>
        <w:rPr>
          <w:rtl w:val="true"/>
        </w:rPr>
        <w:t xml:space="preserve">, </w:t>
      </w:r>
      <w:r>
        <w:rPr>
          <w:rtl w:val="true"/>
        </w:rPr>
        <w:t>אך לא סיים את לימודיו עקב הסתבכות בעבירת אלימות</w:t>
      </w:r>
      <w:r>
        <w:rPr>
          <w:rtl w:val="true"/>
        </w:rPr>
        <w:t xml:space="preserve">, </w:t>
      </w:r>
      <w:r>
        <w:rPr>
          <w:rtl w:val="true"/>
        </w:rPr>
        <w:t>אותה ביצע במהלך לימודיו בכיתה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ובגינה נדון לריצוי עונש מאסר בפועל בן שמונה חודשים</w:t>
      </w:r>
      <w:r>
        <w:rPr>
          <w:rtl w:val="true"/>
        </w:rPr>
        <w:t xml:space="preserve">. </w:t>
      </w:r>
      <w:r>
        <w:rPr>
          <w:rtl w:val="true"/>
        </w:rPr>
        <w:t>הוא ריצה את העונש בכלא צלמון</w:t>
      </w:r>
      <w:r>
        <w:rPr>
          <w:rtl w:val="true"/>
        </w:rPr>
        <w:t xml:space="preserve">, </w:t>
      </w:r>
      <w:r>
        <w:rPr>
          <w:rtl w:val="true"/>
        </w:rPr>
        <w:t>וקיים קשר שטחי עם גורמי טיפול</w:t>
      </w:r>
      <w:r>
        <w:rPr>
          <w:rtl w:val="true"/>
        </w:rPr>
        <w:t xml:space="preserve">. </w:t>
      </w:r>
      <w:r>
        <w:rPr>
          <w:rtl w:val="true"/>
        </w:rPr>
        <w:t>עם שחרורו</w:t>
      </w:r>
      <w:r>
        <w:rPr>
          <w:rtl w:val="true"/>
        </w:rPr>
        <w:t xml:space="preserve">, </w:t>
      </w:r>
      <w:r>
        <w:rPr>
          <w:rtl w:val="true"/>
        </w:rPr>
        <w:t>עבד בתחום הבניין עם אביו</w:t>
      </w:r>
      <w:r>
        <w:rPr>
          <w:rtl w:val="true"/>
        </w:rPr>
        <w:t xml:space="preserve">, </w:t>
      </w:r>
      <w:r>
        <w:rPr>
          <w:rtl w:val="true"/>
        </w:rPr>
        <w:t>עד למעצרו</w:t>
      </w:r>
      <w:r>
        <w:rPr>
          <w:rtl w:val="true"/>
        </w:rPr>
        <w:t xml:space="preserve">. </w:t>
      </w:r>
      <w:r>
        <w:rPr>
          <w:rtl w:val="true"/>
        </w:rPr>
        <w:t>באשר לעבירות דנן</w:t>
      </w:r>
      <w:r>
        <w:rPr>
          <w:rtl w:val="true"/>
        </w:rPr>
        <w:t xml:space="preserve">, </w:t>
      </w:r>
      <w:r>
        <w:rPr>
          <w:rtl w:val="true"/>
        </w:rPr>
        <w:t>טען הנאשם בפני שירות המבחן</w:t>
      </w:r>
      <w:r>
        <w:rPr>
          <w:rtl w:val="true"/>
        </w:rPr>
        <w:t xml:space="preserve">, </w:t>
      </w:r>
      <w:r>
        <w:rPr>
          <w:rtl w:val="true"/>
        </w:rPr>
        <w:t>כי בשכונה בה הוא מתגורר פרצה קטטה</w:t>
      </w:r>
      <w:r>
        <w:rPr>
          <w:rtl w:val="true"/>
        </w:rPr>
        <w:t xml:space="preserve">, </w:t>
      </w:r>
      <w:r>
        <w:rPr>
          <w:rtl w:val="true"/>
        </w:rPr>
        <w:t>שהיו שותפים לה קרובי 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נטל אקדח מאחד המשתתפים וירה באוויר על</w:t>
      </w:r>
      <w:r>
        <w:rPr>
          <w:rtl w:val="true"/>
        </w:rPr>
        <w:t>-</w:t>
      </w:r>
      <w:r>
        <w:rPr>
          <w:rtl w:val="true"/>
        </w:rPr>
        <w:t>מנת להרגיע את הרוחות</w:t>
      </w:r>
      <w:r>
        <w:rPr>
          <w:rtl w:val="true"/>
        </w:rPr>
        <w:t xml:space="preserve">. </w:t>
      </w:r>
      <w:r>
        <w:rPr>
          <w:rtl w:val="true"/>
        </w:rPr>
        <w:t>הנאשם הכחיש כוונות פגיעה במתלונן</w:t>
      </w:r>
      <w:r>
        <w:rPr>
          <w:rtl w:val="true"/>
        </w:rPr>
        <w:t xml:space="preserve">, </w:t>
      </w:r>
      <w:r>
        <w:rPr>
          <w:rtl w:val="true"/>
        </w:rPr>
        <w:t>וטען כי לא ירה לעברו ולא התכוון לפצוע אותו</w:t>
      </w:r>
      <w:r>
        <w:rPr>
          <w:rtl w:val="true"/>
        </w:rPr>
        <w:t xml:space="preserve">. </w:t>
      </w:r>
      <w:r>
        <w:rPr>
          <w:rtl w:val="true"/>
        </w:rPr>
        <w:t>עוד טען שהמתלונן כלל לא היה ברכב כשהוא ירה</w:t>
      </w:r>
      <w:r>
        <w:rPr>
          <w:rtl w:val="true"/>
        </w:rPr>
        <w:t xml:space="preserve">, </w:t>
      </w:r>
      <w:r>
        <w:rPr>
          <w:rtl w:val="true"/>
        </w:rPr>
        <w:t>וכי יכול להיות שהיו אנשים אחרים שירו והרכב של המתלונן נפגע מירי של אדם אחר</w:t>
      </w:r>
      <w:r>
        <w:rPr>
          <w:rtl w:val="true"/>
        </w:rPr>
        <w:t xml:space="preserve">. </w:t>
        <w:tab/>
        <w:br/>
        <w:br/>
      </w:r>
      <w:r>
        <w:rPr>
          <w:rtl w:val="true"/>
        </w:rPr>
        <w:t>נקבע בתסקיר</w:t>
      </w:r>
      <w:r>
        <w:rPr>
          <w:rtl w:val="true"/>
        </w:rPr>
        <w:t xml:space="preserve">, </w:t>
      </w:r>
      <w:r>
        <w:rPr>
          <w:rtl w:val="true"/>
        </w:rPr>
        <w:t>כי הנאשם לא נטל אחריות לאירוע</w:t>
      </w:r>
      <w:r>
        <w:rPr>
          <w:rtl w:val="true"/>
        </w:rPr>
        <w:t xml:space="preserve">, </w:t>
      </w:r>
      <w:r>
        <w:rPr>
          <w:rtl w:val="true"/>
        </w:rPr>
        <w:t>ואינו חש אשמה בגינו</w:t>
      </w:r>
      <w:r>
        <w:rPr>
          <w:rtl w:val="true"/>
        </w:rPr>
        <w:t xml:space="preserve">. </w:t>
      </w:r>
      <w:r>
        <w:rPr>
          <w:rtl w:val="true"/>
        </w:rPr>
        <w:t>לאור ההכחשה</w:t>
      </w:r>
      <w:r>
        <w:rPr>
          <w:rtl w:val="true"/>
        </w:rPr>
        <w:t xml:space="preserve">, </w:t>
      </w:r>
      <w:r>
        <w:rPr>
          <w:rtl w:val="true"/>
        </w:rPr>
        <w:t>אי נטילת האחריות</w:t>
      </w:r>
      <w:r>
        <w:rPr>
          <w:rtl w:val="true"/>
        </w:rPr>
        <w:t xml:space="preserve">, </w:t>
      </w:r>
      <w:r>
        <w:rPr>
          <w:rtl w:val="true"/>
        </w:rPr>
        <w:t>ושלילת קשיים בהתנהגותו ובתפקודו</w:t>
      </w:r>
      <w:r>
        <w:rPr>
          <w:rtl w:val="true"/>
        </w:rPr>
        <w:t xml:space="preserve">, </w:t>
      </w:r>
      <w:r>
        <w:rPr>
          <w:rtl w:val="true"/>
        </w:rPr>
        <w:t>עמד שירות המבחן על ההסלמה בהתנהגותו התוקפנית של הנאשם</w:t>
      </w:r>
      <w:r>
        <w:rPr>
          <w:rtl w:val="true"/>
        </w:rPr>
        <w:t xml:space="preserve">, </w:t>
      </w:r>
      <w:r>
        <w:rPr>
          <w:rtl w:val="true"/>
        </w:rPr>
        <w:t>וקבע כי קיימת סבירות להישנות התנהגות בעייתית בעתיד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טיפולית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בטיעוניה</w:t>
      </w:r>
      <w:r>
        <w:rPr>
          <w:rtl w:val="true"/>
        </w:rPr>
        <w:t xml:space="preserve">, </w:t>
      </w:r>
      <w:r>
        <w:rPr>
          <w:rtl w:val="true"/>
        </w:rPr>
        <w:t>לפגיעת מעשי הנאשם בערכים המוגנים של שלמות גופו של אדם</w:t>
      </w:r>
      <w:r>
        <w:rPr>
          <w:rtl w:val="true"/>
        </w:rPr>
        <w:t xml:space="preserve">, </w:t>
      </w:r>
      <w:r>
        <w:rPr>
          <w:rtl w:val="true"/>
        </w:rPr>
        <w:t>שמירה על הסדר הציבורי ובטחון 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עמדו לא פעם על הצורך לבער את הנגע שפשט בציבור</w:t>
      </w:r>
      <w:r>
        <w:rPr>
          <w:rtl w:val="true"/>
        </w:rPr>
        <w:t xml:space="preserve">, </w:t>
      </w:r>
      <w:r>
        <w:rPr>
          <w:rtl w:val="true"/>
        </w:rPr>
        <w:t>הוא פיתרון סכסוכים באמצעות שימוש בנשק קר או חם</w:t>
      </w:r>
      <w:r>
        <w:rPr>
          <w:rtl w:val="true"/>
        </w:rPr>
        <w:t xml:space="preserve">, </w:t>
      </w:r>
      <w:r>
        <w:rPr>
          <w:rtl w:val="true"/>
        </w:rPr>
        <w:t>ועל התוצאות ההרסניות שעלולות להיגרם בגין מעשים מסוג המעשים שביצע 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סקרה בטיעוניה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ולטענתה בתי</w:t>
      </w:r>
      <w:r>
        <w:rPr>
          <w:rtl w:val="true"/>
        </w:rPr>
        <w:t>-</w:t>
      </w:r>
      <w:r>
        <w:rPr>
          <w:rtl w:val="true"/>
        </w:rPr>
        <w:t>המשפט התגייסו למלחמת חורמה לשם ביעור תופעת האלימות הרווחת בעת האחרונה</w:t>
      </w:r>
      <w:r>
        <w:rPr>
          <w:rtl w:val="true"/>
        </w:rPr>
        <w:t xml:space="preserve">, </w:t>
      </w:r>
      <w:r>
        <w:rPr>
          <w:rtl w:val="true"/>
        </w:rPr>
        <w:t>ובתוך כך קבעו כי ככלל</w:t>
      </w:r>
      <w:r>
        <w:rPr>
          <w:rtl w:val="true"/>
        </w:rPr>
        <w:t xml:space="preserve">, </w:t>
      </w:r>
      <w:r>
        <w:rPr>
          <w:rtl w:val="true"/>
        </w:rPr>
        <w:t>צפויים מבצעיהן של עבירות אלימות לעונשי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התייחסו בתי המשפט בחומרה למבצעי עבירות נשק</w:t>
      </w:r>
      <w:r>
        <w:rPr>
          <w:rtl w:val="true"/>
        </w:rPr>
        <w:t xml:space="preserve">, </w:t>
      </w:r>
      <w:r>
        <w:rPr>
          <w:rtl w:val="true"/>
        </w:rPr>
        <w:t>לאור ריבוין של עבירות הנשק</w:t>
      </w:r>
      <w:r>
        <w:rPr>
          <w:rtl w:val="true"/>
        </w:rPr>
        <w:t xml:space="preserve">, </w:t>
      </w:r>
      <w:r>
        <w:rPr>
          <w:rtl w:val="true"/>
        </w:rPr>
        <w:t>ובמטרה לעקרן מן השורש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טענה המאשימה</w:t>
      </w:r>
      <w:r>
        <w:rPr>
          <w:rtl w:val="true"/>
        </w:rPr>
        <w:t xml:space="preserve">, </w:t>
      </w:r>
      <w:r>
        <w:rPr>
          <w:rtl w:val="true"/>
        </w:rPr>
        <w:t>הנאשם עשה שימוש בנשק שהגיע לידיו בדרך בלתי</w:t>
      </w:r>
      <w:r>
        <w:rPr>
          <w:rtl w:val="true"/>
        </w:rPr>
        <w:t>-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ובכך טמונה חומרת המעשים</w:t>
      </w:r>
      <w:r>
        <w:rPr>
          <w:rtl w:val="true"/>
        </w:rPr>
        <w:t xml:space="preserve">. </w:t>
      </w:r>
      <w:r>
        <w:rPr>
          <w:rtl w:val="true"/>
        </w:rPr>
        <w:t>מדובר במקרה המדגים את מימוש הפוטנציאל המסוכן הגלום בהחזקת נשק שלא כדין</w:t>
      </w:r>
      <w:r>
        <w:rPr>
          <w:rtl w:val="true"/>
        </w:rPr>
        <w:t xml:space="preserve">, </w:t>
      </w:r>
      <w:r>
        <w:rPr>
          <w:rtl w:val="true"/>
        </w:rPr>
        <w:t>ואת השימוש בו למטרות פליליות מובהקות</w:t>
      </w:r>
      <w:r>
        <w:rPr>
          <w:rtl w:val="true"/>
        </w:rPr>
        <w:t xml:space="preserve">. </w:t>
      </w:r>
      <w:r>
        <w:rPr>
          <w:rtl w:val="true"/>
        </w:rPr>
        <w:t>הנזק שנגרם עקב מעשי הנאשם הנו בעיקר לרכוש</w:t>
      </w:r>
      <w:r>
        <w:rPr>
          <w:rtl w:val="true"/>
        </w:rPr>
        <w:t xml:space="preserve">, </w:t>
      </w:r>
      <w:r>
        <w:rPr>
          <w:rtl w:val="true"/>
        </w:rPr>
        <w:t>ואולם הנזק הגלום במעשים היה עלול להיות חמור לאין שיעור</w:t>
      </w:r>
      <w:r>
        <w:rPr>
          <w:rtl w:val="true"/>
        </w:rPr>
        <w:t xml:space="preserve">, </w:t>
      </w:r>
      <w:r>
        <w:rPr>
          <w:rtl w:val="true"/>
        </w:rPr>
        <w:t>אילו היה פוגע בגופו של המתלונן</w:t>
      </w:r>
      <w:r>
        <w:rPr>
          <w:rtl w:val="true"/>
        </w:rPr>
        <w:t xml:space="preserve">. </w:t>
      </w:r>
      <w:r>
        <w:rPr>
          <w:rtl w:val="true"/>
        </w:rPr>
        <w:t>הנאשם הצטייד בנשק בעקבות ויכוח קודם עם בניו של המתלונן</w:t>
      </w:r>
      <w:r>
        <w:rPr>
          <w:rtl w:val="true"/>
        </w:rPr>
        <w:t xml:space="preserve">, </w:t>
      </w:r>
      <w:r>
        <w:rPr>
          <w:rtl w:val="true"/>
        </w:rPr>
        <w:t>ולאחר מכן ירה לעבר המתלונן על מנת לפצוע אותו</w:t>
      </w:r>
      <w:r>
        <w:rPr>
          <w:rtl w:val="true"/>
        </w:rPr>
        <w:t xml:space="preserve">. </w:t>
      </w:r>
      <w:r>
        <w:rPr>
          <w:rtl w:val="true"/>
        </w:rPr>
        <w:t>אין מדובר במצב שבו פעל על מנת להגן על עצמו בעל כורחו</w:t>
      </w:r>
      <w:r>
        <w:rPr>
          <w:rtl w:val="true"/>
        </w:rPr>
        <w:t xml:space="preserve">, </w:t>
      </w:r>
      <w:r>
        <w:rPr>
          <w:rtl w:val="true"/>
        </w:rPr>
        <w:t>אלא שהנאשם פעל תוך תכנון מוקדם</w:t>
      </w:r>
      <w:r>
        <w:rPr>
          <w:rtl w:val="true"/>
        </w:rPr>
        <w:t xml:space="preserve">. </w:t>
      </w:r>
      <w:r>
        <w:rPr>
          <w:rtl w:val="true"/>
        </w:rPr>
        <w:t>הנאשם אמנם טען בפני שירות המבחן כי היו אחרים שירו ופגעו ברכבו של המתלונן</w:t>
      </w:r>
      <w:r>
        <w:rPr>
          <w:rtl w:val="true"/>
        </w:rPr>
        <w:t xml:space="preserve">, </w:t>
      </w:r>
      <w:r>
        <w:rPr>
          <w:rtl w:val="true"/>
        </w:rPr>
        <w:t>ולא הוא זה שעשה כן</w:t>
      </w:r>
      <w:r>
        <w:rPr>
          <w:rtl w:val="true"/>
        </w:rPr>
        <w:t xml:space="preserve">, </w:t>
      </w:r>
      <w:r>
        <w:rPr>
          <w:rtl w:val="true"/>
        </w:rPr>
        <w:t>וטענתו זו סותרת את טענת האליבי שהציג בתשובת לאישום</w:t>
      </w:r>
      <w:r>
        <w:rPr>
          <w:rtl w:val="true"/>
        </w:rPr>
        <w:t xml:space="preserve">, </w:t>
      </w:r>
      <w:r>
        <w:rPr>
          <w:rtl w:val="true"/>
        </w:rPr>
        <w:t>ואת הודאתו בעובדות 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עמדה גם על עברו הפלילי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 ביום </w:t>
      </w:r>
      <w:r>
        <w:rPr/>
        <w:t>6.4.10</w:t>
      </w:r>
      <w:r>
        <w:rPr>
          <w:rtl w:val="true"/>
        </w:rPr>
        <w:t xml:space="preserve"> </w:t>
      </w:r>
      <w:r>
        <w:rPr>
          <w:rtl w:val="true"/>
        </w:rPr>
        <w:t>בעבירות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החזקת סכין</w:t>
      </w:r>
      <w:r>
        <w:rPr>
          <w:rtl w:val="true"/>
        </w:rPr>
        <w:t xml:space="preserve">, </w:t>
      </w:r>
      <w:r>
        <w:rPr>
          <w:rtl w:val="true"/>
        </w:rPr>
        <w:t>תקיפה ופציעה</w:t>
      </w:r>
      <w:r>
        <w:rPr>
          <w:rtl w:val="true"/>
        </w:rPr>
        <w:t xml:space="preserve">, </w:t>
      </w:r>
      <w:r>
        <w:rPr>
          <w:rtl w:val="true"/>
        </w:rPr>
        <w:t>בגינה נדון לעונש מאסר בפועל בן שמונה חודשים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מותנה למשך שלוש שנים</w:t>
      </w:r>
      <w:r>
        <w:rPr>
          <w:rtl w:val="true"/>
        </w:rPr>
        <w:t xml:space="preserve">, </w:t>
      </w:r>
      <w:r>
        <w:rPr>
          <w:rtl w:val="true"/>
        </w:rPr>
        <w:t>בגין כל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מותנה למשך שלוש שנים</w:t>
      </w:r>
      <w:r>
        <w:rPr>
          <w:rtl w:val="true"/>
        </w:rPr>
        <w:t xml:space="preserve">, </w:t>
      </w:r>
      <w:r>
        <w:rPr>
          <w:rtl w:val="true"/>
        </w:rPr>
        <w:t>בגין כל עבירת אלימות מסוג עוון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מותנה למשך שלוש שנים</w:t>
      </w:r>
      <w:r>
        <w:rPr>
          <w:rtl w:val="true"/>
        </w:rPr>
        <w:t xml:space="preserve">, </w:t>
      </w:r>
      <w:r>
        <w:rPr>
          <w:rtl w:val="true"/>
        </w:rPr>
        <w:t>בגין עבירה של החזקת סכין או הפרת הוראה חוקית</w:t>
      </w:r>
      <w:r>
        <w:rPr>
          <w:rtl w:val="true"/>
        </w:rPr>
        <w:t xml:space="preserve">. </w:t>
      </w:r>
      <w:r>
        <w:rPr>
          <w:rtl w:val="true"/>
        </w:rPr>
        <w:t>באשר לאפשרות להפעיל עונש מאסר מותנה</w:t>
      </w:r>
      <w:r>
        <w:rPr>
          <w:rtl w:val="true"/>
        </w:rPr>
        <w:t xml:space="preserve">, </w:t>
      </w:r>
      <w:r>
        <w:rPr>
          <w:rtl w:val="true"/>
        </w:rPr>
        <w:t>כאשר אדם מורשע בעבירת ניסיון</w:t>
      </w:r>
      <w:r>
        <w:rPr>
          <w:rtl w:val="true"/>
        </w:rPr>
        <w:t xml:space="preserve">, </w:t>
      </w:r>
      <w:r>
        <w:rPr>
          <w:rtl w:val="true"/>
        </w:rPr>
        <w:t>ולא בעבירה המוגמרת</w:t>
      </w:r>
      <w:r>
        <w:rPr>
          <w:rtl w:val="true"/>
        </w:rPr>
        <w:t xml:space="preserve">, </w:t>
      </w:r>
      <w:r>
        <w:rPr>
          <w:rtl w:val="true"/>
        </w:rPr>
        <w:t xml:space="preserve">הפנתה המאשימה </w:t>
      </w:r>
      <w:hyperlink r:id="rId24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ולקביעת בית</w:t>
      </w:r>
      <w:r>
        <w:rPr>
          <w:rtl w:val="true"/>
        </w:rPr>
        <w:t>-</w:t>
      </w:r>
      <w:r>
        <w:rPr>
          <w:rtl w:val="true"/>
        </w:rPr>
        <w:t>המשפט העליון 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4517/04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מסרואה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10.3.05</w:t>
      </w:r>
      <w:r>
        <w:rPr>
          <w:rtl w:val="true"/>
        </w:rPr>
        <w:t xml:space="preserve">), </w:t>
      </w:r>
      <w:r>
        <w:rPr>
          <w:rtl w:val="true"/>
        </w:rPr>
        <w:t>לפיהם ניתן להפעיל עונש מאסר מותנה מקום שנאשם הורשע בעבירת ניסיון</w:t>
      </w:r>
      <w:r>
        <w:rPr>
          <w:rtl w:val="true"/>
        </w:rPr>
        <w:t xml:space="preserve">, </w:t>
      </w:r>
      <w:r>
        <w:rPr>
          <w:rtl w:val="true"/>
        </w:rPr>
        <w:t>שכן דינה כדין ביצוע עבירת התנאי המושלמת עצמה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לבסוף עמדה ב</w:t>
      </w:r>
      <w:r>
        <w:rPr>
          <w:rtl w:val="true"/>
        </w:rPr>
        <w:t>"</w:t>
      </w:r>
      <w:r>
        <w:rPr>
          <w:rtl w:val="true"/>
        </w:rPr>
        <w:t>כ המאשימה על העובדה ששירות המבחן נמנע מלבוא בהמלצה טיפולית בעניינו של הנאשם</w:t>
      </w:r>
      <w:r>
        <w:rPr>
          <w:rtl w:val="true"/>
        </w:rPr>
        <w:t xml:space="preserve">, </w:t>
      </w:r>
      <w:r>
        <w:rPr>
          <w:rtl w:val="true"/>
        </w:rPr>
        <w:t>מסקנה המבוססת על אי נטילת אחריות</w:t>
      </w:r>
      <w:r>
        <w:rPr>
          <w:rtl w:val="true"/>
        </w:rPr>
        <w:t xml:space="preserve">, </w:t>
      </w:r>
      <w:r>
        <w:rPr>
          <w:rtl w:val="true"/>
        </w:rPr>
        <w:t>הכחשתו של הנאשם את התנהגותו האלימה</w:t>
      </w:r>
      <w:r>
        <w:rPr>
          <w:rtl w:val="true"/>
        </w:rPr>
        <w:t xml:space="preserve">, </w:t>
      </w:r>
      <w:r>
        <w:rPr>
          <w:rtl w:val="true"/>
        </w:rPr>
        <w:t>ועל הסבירות הקיימת להישנות ההתנהגות הבעייתית 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סברה המאשימה כי </w:t>
      </w:r>
      <w:r>
        <w:rPr>
          <w:b/>
          <w:b/>
          <w:bCs/>
          <w:rtl w:val="true"/>
        </w:rPr>
        <w:t xml:space="preserve">מתחם הענישה ההולם בעניינו של הנאשם דנן הנו בין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שנות מאסר בפועל ובין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וביקשה מבית</w:t>
      </w:r>
      <w:r>
        <w:rPr>
          <w:rtl w:val="true"/>
        </w:rPr>
        <w:t>-</w:t>
      </w:r>
      <w:r>
        <w:rPr>
          <w:rtl w:val="true"/>
        </w:rPr>
        <w:t>המשפט להטיל על הנאשם עונש שהוא ברף העליון של מתחם זה</w:t>
      </w:r>
      <w:r>
        <w:rPr>
          <w:rtl w:val="true"/>
        </w:rPr>
        <w:t xml:space="preserve">, </w:t>
      </w:r>
      <w:r>
        <w:rPr>
          <w:rtl w:val="true"/>
        </w:rPr>
        <w:t>להפעיל את המאסרים המותנים התלויים ועומדים לחובתו של הנאשם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בנוסף לעונשים נלווים</w:t>
      </w:r>
      <w:r>
        <w:rPr>
          <w:rtl w:val="true"/>
        </w:rPr>
        <w:t xml:space="preserve">, </w:t>
      </w:r>
      <w:r>
        <w:rPr>
          <w:rtl w:val="true"/>
        </w:rPr>
        <w:t>לרבות פיצוי למתלונן ולעד סמיר הווארי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על הודאת הנאשם במסגרת הסדר טיעון</w:t>
      </w:r>
      <w:r>
        <w:rPr>
          <w:rtl w:val="true"/>
        </w:rPr>
        <w:t xml:space="preserve">, </w:t>
      </w:r>
      <w:r>
        <w:rPr>
          <w:rtl w:val="true"/>
        </w:rPr>
        <w:t>אשר תרמה לחיסכון ניכר בזמן שיפוטי</w:t>
      </w:r>
      <w:r>
        <w:rPr>
          <w:rtl w:val="true"/>
        </w:rPr>
        <w:t xml:space="preserve">, </w:t>
      </w:r>
      <w:r>
        <w:rPr>
          <w:rtl w:val="true"/>
        </w:rPr>
        <w:t>ועל הסולחה שהושגה בין הצדדים שתתרום להשגת שקט ולעצירת האלימות</w:t>
      </w:r>
      <w:r>
        <w:rPr>
          <w:rtl w:val="true"/>
        </w:rPr>
        <w:t xml:space="preserve">, </w:t>
      </w:r>
      <w:r>
        <w:rPr>
          <w:rtl w:val="true"/>
        </w:rPr>
        <w:t>כשיקולים לזכותו של הנאשם</w:t>
      </w:r>
      <w:r>
        <w:rPr>
          <w:rtl w:val="true"/>
        </w:rPr>
        <w:t xml:space="preserve">. </w:t>
      </w:r>
      <w:r>
        <w:rPr>
          <w:rtl w:val="true"/>
        </w:rPr>
        <w:t>כן עמד על גילו הצעיר</w:t>
      </w:r>
      <w:r>
        <w:rPr>
          <w:rtl w:val="true"/>
        </w:rPr>
        <w:t xml:space="preserve">, </w:t>
      </w:r>
      <w:r>
        <w:rPr>
          <w:rtl w:val="true"/>
        </w:rPr>
        <w:t>ועל העובדה שלחובתו הרשעה אחת קודמת בלבד</w:t>
      </w:r>
      <w:r>
        <w:rPr>
          <w:rtl w:val="true"/>
        </w:rPr>
        <w:t xml:space="preserve">, </w:t>
      </w:r>
      <w:r>
        <w:rPr>
          <w:rtl w:val="true"/>
        </w:rPr>
        <w:t>כך שעברו הפלילי אינו מכביד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ברקע ביצוע המעשים</w:t>
      </w:r>
      <w:r>
        <w:rPr>
          <w:rtl w:val="true"/>
        </w:rPr>
        <w:t xml:space="preserve">, </w:t>
      </w:r>
      <w:r>
        <w:rPr>
          <w:rtl w:val="true"/>
        </w:rPr>
        <w:t>עמדו האשמות המתלונן כלפי הנאשם שניסה להפלילו בפריצה לביתו ובגניבה</w:t>
      </w:r>
      <w:r>
        <w:rPr>
          <w:rtl w:val="true"/>
        </w:rPr>
        <w:t xml:space="preserve">, </w:t>
      </w:r>
      <w:r>
        <w:rPr>
          <w:rtl w:val="true"/>
        </w:rPr>
        <w:t>והדבר ליבה את הסכסוך ביניהם</w:t>
      </w:r>
      <w:r>
        <w:rPr>
          <w:rtl w:val="true"/>
        </w:rPr>
        <w:t xml:space="preserve">. </w:t>
      </w:r>
      <w:r>
        <w:rPr>
          <w:rtl w:val="true"/>
        </w:rPr>
        <w:t>באשר לתסקיר שירות המבחן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התנגד למסקנותיו</w:t>
      </w:r>
      <w:r>
        <w:rPr>
          <w:rtl w:val="true"/>
        </w:rPr>
        <w:t xml:space="preserve">, </w:t>
      </w:r>
      <w:r>
        <w:rPr>
          <w:rtl w:val="true"/>
        </w:rPr>
        <w:t>לאור העובדה שהנאשם דווקא נטל אחריות למעשים</w:t>
      </w:r>
      <w:r>
        <w:rPr>
          <w:rtl w:val="true"/>
        </w:rPr>
        <w:t xml:space="preserve">, </w:t>
      </w:r>
      <w:r>
        <w:rPr>
          <w:rtl w:val="true"/>
        </w:rPr>
        <w:t>מבחינה זו שהודה כי נטל לידיו אקדח במהלך הקטטה וירה</w:t>
      </w:r>
      <w:r>
        <w:rPr>
          <w:rtl w:val="true"/>
        </w:rPr>
        <w:t xml:space="preserve">, </w:t>
      </w:r>
      <w:r>
        <w:rPr>
          <w:rtl w:val="true"/>
        </w:rPr>
        <w:t>כך שההודאה מתייחסת ללב המעשים</w:t>
      </w:r>
      <w:r>
        <w:rPr>
          <w:rtl w:val="true"/>
        </w:rPr>
        <w:t xml:space="preserve">. </w:t>
      </w:r>
      <w:r>
        <w:rPr>
          <w:rtl w:val="true"/>
        </w:rPr>
        <w:t>באשר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 xml:space="preserve">כ הנאשם כי היא נעה בין </w:t>
      </w:r>
      <w:r>
        <w:rPr>
          <w:b/>
          <w:b/>
          <w:bCs/>
          <w:rtl w:val="true"/>
        </w:rPr>
        <w:t xml:space="preserve">ששה חודשי מאסר בפועל ברף התחתון לבין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ברף העליון</w:t>
      </w:r>
      <w:r>
        <w:rPr>
          <w:rtl w:val="true"/>
        </w:rPr>
        <w:t xml:space="preserve">. </w:t>
      </w:r>
      <w:r>
        <w:rPr>
          <w:rtl w:val="true"/>
        </w:rPr>
        <w:t>הוא ביקש לפסוק לנאשם עונש שהוא על הצד המקל של הטווח</w:t>
      </w:r>
      <w:r>
        <w:rPr>
          <w:rtl w:val="true"/>
        </w:rPr>
        <w:t xml:space="preserve">, </w:t>
      </w:r>
      <w:r>
        <w:rPr>
          <w:rtl w:val="true"/>
        </w:rPr>
        <w:t>לתת משקל לשיקולי השיקום</w:t>
      </w:r>
      <w:r>
        <w:rPr>
          <w:rtl w:val="true"/>
        </w:rPr>
        <w:t xml:space="preserve">, </w:t>
      </w:r>
      <w:r>
        <w:rPr>
          <w:rtl w:val="true"/>
        </w:rPr>
        <w:t>ולהורות כי עונש המאסר המותנה יופעל בחופף ולא 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הנאשם בדבריו 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 צער וביקש את סליחת המתלונן</w:t>
      </w:r>
      <w:r>
        <w:rPr>
          <w:rtl w:val="true"/>
        </w:rPr>
        <w:t xml:space="preserve">. </w:t>
      </w:r>
      <w:r>
        <w:rPr>
          <w:rtl w:val="true"/>
        </w:rPr>
        <w:t>המתלונן הצהיר בפני בית</w:t>
      </w:r>
      <w:r>
        <w:rPr>
          <w:rtl w:val="true"/>
        </w:rPr>
        <w:t>-</w:t>
      </w:r>
      <w:r>
        <w:rPr>
          <w:rtl w:val="true"/>
        </w:rPr>
        <w:t>המשפט כי סלח לנאשם</w:t>
      </w:r>
      <w:r>
        <w:rPr>
          <w:rtl w:val="true"/>
        </w:rPr>
        <w:t xml:space="preserve">, </w:t>
      </w:r>
      <w:r>
        <w:rPr>
          <w:rtl w:val="true"/>
        </w:rPr>
        <w:t>כי נערכה סולחה והיחסים עם הנאשם ומשפחתו חזרו להיות טובים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 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המקרה שלפניי מצוי במסגרת תחולתו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 xml:space="preserve">חוק העונשין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תיקון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2330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10/1/12</w:t>
      </w:r>
      <w:r>
        <w:rPr>
          <w:rtl w:val="true"/>
        </w:rPr>
        <w:t xml:space="preserve">), </w:t>
      </w:r>
      <w:r>
        <w:rPr>
          <w:rtl w:val="true"/>
        </w:rPr>
        <w:t>המתווה לבתי</w:t>
      </w:r>
      <w:r>
        <w:rPr>
          <w:rtl w:val="true"/>
        </w:rPr>
        <w:t>-</w:t>
      </w:r>
      <w:r>
        <w:rPr>
          <w:rtl w:val="true"/>
        </w:rPr>
        <w:t>המשפט מדרג של עקרונות ושיקולים הצריכים להיות מובאים בחשבון בעת גזירת הדין</w:t>
      </w:r>
      <w:r>
        <w:rPr>
          <w:rtl w:val="true"/>
        </w:rPr>
        <w:t xml:space="preserve">. </w:t>
      </w:r>
      <w:r>
        <w:rPr>
          <w:rtl w:val="true"/>
        </w:rPr>
        <w:t>החוק מורנו</w:t>
      </w:r>
      <w:r>
        <w:rPr>
          <w:rtl w:val="true"/>
        </w:rPr>
        <w:t xml:space="preserve">, </w:t>
      </w:r>
      <w:hyperlink r:id="rId27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>: "</w:t>
      </w:r>
      <w:r>
        <w:rPr>
          <w:rtl w:val="true"/>
        </w:rPr>
        <w:t xml:space="preserve">העיקרון המנחה בענישה הוא קיומו של </w:t>
      </w:r>
      <w:r>
        <w:rPr>
          <w:b/>
          <w:b/>
          <w:bCs/>
          <w:rtl w:val="true"/>
        </w:rPr>
        <w:t>יחס הולם</w:t>
      </w:r>
      <w:r>
        <w:rPr>
          <w:rtl w:val="true"/>
        </w:rPr>
        <w:t xml:space="preserve"> בין חומרת מעשה העבירה בנסיבותיו ומידת אשמו של הנאשם ובין סוג ומידת העונש המוטל עליו</w:t>
      </w:r>
      <w:r>
        <w:rPr>
          <w:rtl w:val="true"/>
        </w:rPr>
        <w:t xml:space="preserve">." </w:t>
      </w:r>
      <w:hyperlink r:id="rId28">
        <w:r>
          <w:rPr>
            <w:rStyle w:val="Hyperlink"/>
            <w:rtl w:val="true"/>
          </w:rPr>
          <w:t xml:space="preserve">ובסעיף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 "</w:t>
      </w:r>
      <w:r>
        <w:rPr>
          <w:rtl w:val="true"/>
        </w:rPr>
        <w:t xml:space="preserve">בית המשפט יקבע </w:t>
      </w:r>
      <w:r>
        <w:rPr>
          <w:b/>
          <w:b/>
          <w:bCs/>
          <w:rtl w:val="true"/>
        </w:rPr>
        <w:t>מתחם עונש הולם למעשה העבירה</w:t>
      </w:r>
      <w:r>
        <w:rPr>
          <w:rtl w:val="true"/>
        </w:rPr>
        <w:t xml:space="preserve"> שביצע הנאשם בהתאם לעיקרון המנחה</w:t>
      </w:r>
      <w:r>
        <w:rPr>
          <w:rtl w:val="true"/>
        </w:rPr>
        <w:t xml:space="preserve">, </w:t>
      </w:r>
      <w:r>
        <w:rPr>
          <w:rtl w:val="true"/>
        </w:rPr>
        <w:t>ולשם כך יתחשב בערך החברתי שנפגע מביצוע העבירה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 xml:space="preserve">במדיניות הענישה הנהוגה ובנסיבות הקשורות בביצוע העבירה כאמור </w:t>
      </w:r>
      <w:hyperlink r:id="rId29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."</w:t>
          <w:tab/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נגע האלימות פשט בחברה כרעה חולה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 התריעו לא פעם בפני נאשמים</w:t>
      </w:r>
      <w:r>
        <w:rPr>
          <w:rtl w:val="true"/>
        </w:rPr>
        <w:t xml:space="preserve">, </w:t>
      </w:r>
      <w:r>
        <w:rPr>
          <w:rtl w:val="true"/>
        </w:rPr>
        <w:t>כי רק נקיטת מדיניות ענישה הולמת</w:t>
      </w:r>
      <w:r>
        <w:rPr>
          <w:rtl w:val="true"/>
        </w:rPr>
        <w:t xml:space="preserve">, </w:t>
      </w:r>
      <w:r>
        <w:rPr>
          <w:rtl w:val="true"/>
        </w:rPr>
        <w:t>תוביל להרתעה של מבצעים בכוח</w:t>
      </w:r>
      <w:r>
        <w:rPr>
          <w:rtl w:val="true"/>
        </w:rPr>
        <w:t xml:space="preserve">, </w:t>
      </w:r>
      <w:r>
        <w:rPr>
          <w:rtl w:val="true"/>
        </w:rPr>
        <w:t>למען ידעו כי סכסוכים אין פותרים בכוח הזרוע</w:t>
      </w:r>
      <w:r>
        <w:rPr>
          <w:rtl w:val="true"/>
        </w:rPr>
        <w:t xml:space="preserve">. </w:t>
      </w:r>
      <w:r>
        <w:rPr>
          <w:rtl w:val="true"/>
        </w:rPr>
        <w:t>כך פסק בית</w:t>
      </w:r>
      <w:r>
        <w:rPr>
          <w:rtl w:val="true"/>
        </w:rPr>
        <w:t>-</w:t>
      </w:r>
      <w:r>
        <w:rPr>
          <w:rtl w:val="true"/>
        </w:rPr>
        <w:t xml:space="preserve">המשפט העליון בעניין </w:t>
      </w:r>
      <w:r>
        <w:rPr>
          <w:b/>
          <w:b/>
          <w:bCs/>
          <w:rtl w:val="true"/>
        </w:rPr>
        <w:t>חסן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62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 להילחם באלימות שפשטה בחברה הישראלית על כל צורותיה וגווניה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בתוך המשפחה ואם מחוצה 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בקרב בני נוער ואם בקרב מבוגרים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 נגע רע שיש לבערו מן היסוד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 שנגע האלימות והפרת החוק פושה בחברתנו מן הראוי שידע כל איש ותדע כל אישה כי אם יבחרו בדרך האלימות יטו בתי המשפט להשית עליהם עונשי מאסר מאחורי סורג ובריח</w:t>
      </w:r>
      <w:r>
        <w:rPr>
          <w:rtl w:val="true"/>
        </w:rPr>
        <w:t>" 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10.11.2009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המעשים שביצע הנאשם חמורים ביותר</w:t>
      </w:r>
      <w:r>
        <w:rPr>
          <w:rtl w:val="true"/>
        </w:rPr>
        <w:t xml:space="preserve">. </w:t>
      </w:r>
      <w:r>
        <w:rPr>
          <w:rtl w:val="true"/>
        </w:rPr>
        <w:t>הם פוגעים פגיעה קשה בערך החברתי המוגן של חיי אדם ושלמות גופו</w:t>
      </w:r>
      <w:r>
        <w:rPr>
          <w:rtl w:val="true"/>
        </w:rPr>
        <w:t xml:space="preserve">, </w:t>
      </w:r>
      <w:r>
        <w:rPr>
          <w:rtl w:val="true"/>
        </w:rPr>
        <w:t>ובתחושת הביטחון של הציבור</w:t>
      </w:r>
      <w:r>
        <w:rPr>
          <w:rtl w:val="true"/>
        </w:rPr>
        <w:t xml:space="preserve">. </w:t>
      </w:r>
      <w:r>
        <w:rPr>
          <w:rtl w:val="true"/>
        </w:rPr>
        <w:t>ויכוח מילולי המידרדר בנקל לתקיפה אלימה באמצעות נשק חם</w:t>
      </w:r>
      <w:r>
        <w:rPr>
          <w:rtl w:val="true"/>
        </w:rPr>
        <w:t xml:space="preserve">, </w:t>
      </w:r>
      <w:r>
        <w:rPr>
          <w:rtl w:val="true"/>
        </w:rPr>
        <w:t>עלול להסתיים בתוצאה חמורה של קיפוח חיי אדם</w:t>
      </w:r>
      <w:r>
        <w:rPr>
          <w:rtl w:val="true"/>
        </w:rPr>
        <w:t xml:space="preserve">, </w:t>
      </w:r>
      <w:r>
        <w:rPr>
          <w:rtl w:val="true"/>
        </w:rPr>
        <w:t>כך שהנזק הפוטנציאלי הטמון במעשה הנו עצום</w:t>
      </w:r>
      <w:r>
        <w:rPr>
          <w:rtl w:val="true"/>
        </w:rPr>
        <w:t xml:space="preserve">. </w:t>
      </w:r>
      <w:r>
        <w:rPr>
          <w:rtl w:val="true"/>
        </w:rPr>
        <w:t>הנאשם פעל בתכנון מוקדם</w:t>
      </w:r>
      <w:r>
        <w:rPr>
          <w:rtl w:val="true"/>
        </w:rPr>
        <w:t xml:space="preserve">, </w:t>
      </w:r>
      <w:r>
        <w:rPr>
          <w:rtl w:val="true"/>
        </w:rPr>
        <w:t>הצטייד באקדח</w:t>
      </w:r>
      <w:r>
        <w:rPr>
          <w:rtl w:val="true"/>
        </w:rPr>
        <w:t xml:space="preserve">, </w:t>
      </w:r>
      <w:r>
        <w:rPr>
          <w:rtl w:val="true"/>
        </w:rPr>
        <w:t>והמתין לבואו של המתלונן ברכב על</w:t>
      </w:r>
      <w:r>
        <w:rPr>
          <w:rtl w:val="true"/>
        </w:rPr>
        <w:t>-</w:t>
      </w:r>
      <w:r>
        <w:rPr>
          <w:rtl w:val="true"/>
        </w:rPr>
        <w:t>מנת לירות לעברו ולפצוע אותו</w:t>
      </w:r>
      <w:r>
        <w:rPr>
          <w:rtl w:val="true"/>
        </w:rPr>
        <w:t xml:space="preserve">. </w:t>
      </w:r>
      <w:r>
        <w:rPr>
          <w:rtl w:val="true"/>
        </w:rPr>
        <w:t>גם כשהמתלונן נמלט ברכב לעבר ביתו</w:t>
      </w:r>
      <w:r>
        <w:rPr>
          <w:rtl w:val="true"/>
        </w:rPr>
        <w:t xml:space="preserve">, </w:t>
      </w:r>
      <w:r>
        <w:rPr>
          <w:rtl w:val="true"/>
        </w:rPr>
        <w:t>המשיך הנאשם לרוץ בעקבות רכבו של המתלונן ולירות לעברו</w:t>
      </w:r>
      <w:r>
        <w:rPr>
          <w:rtl w:val="true"/>
        </w:rPr>
        <w:t xml:space="preserve">. </w:t>
      </w:r>
      <w:r>
        <w:rPr>
          <w:rtl w:val="true"/>
        </w:rPr>
        <w:t>בעקבות הירי</w:t>
      </w:r>
      <w:r>
        <w:rPr>
          <w:rtl w:val="true"/>
        </w:rPr>
        <w:t xml:space="preserve">, </w:t>
      </w:r>
      <w:r>
        <w:rPr>
          <w:rtl w:val="true"/>
        </w:rPr>
        <w:t>נגרמו נזקים לרכוש</w:t>
      </w:r>
      <w:r>
        <w:rPr>
          <w:rtl w:val="true"/>
        </w:rPr>
        <w:t xml:space="preserve">. </w:t>
      </w:r>
      <w:r>
        <w:rPr>
          <w:rtl w:val="true"/>
        </w:rPr>
        <w:t>יש להניח</w:t>
      </w:r>
      <w:r>
        <w:rPr>
          <w:rtl w:val="true"/>
        </w:rPr>
        <w:t xml:space="preserve">, </w:t>
      </w:r>
      <w:r>
        <w:rPr>
          <w:rtl w:val="true"/>
        </w:rPr>
        <w:t>כי למתלונן היה עלול להיגרם נזק חמור ביותר</w:t>
      </w:r>
      <w:r>
        <w:rPr>
          <w:rtl w:val="true"/>
        </w:rPr>
        <w:t xml:space="preserve">, </w:t>
      </w:r>
      <w:r>
        <w:rPr>
          <w:rtl w:val="true"/>
        </w:rPr>
        <w:t>אילו כדורי האקדח שנורו לעברו היו פוגעים בגופו</w:t>
      </w:r>
      <w:r>
        <w:rPr>
          <w:rtl w:val="true"/>
        </w:rPr>
        <w:t xml:space="preserve">, </w:t>
      </w:r>
      <w:r>
        <w:rPr>
          <w:rtl w:val="true"/>
        </w:rPr>
        <w:t>או בגופם של עוברי אורח תמימים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יש לייחס חומרה מיוחדת לעובדה שהאלימות בה נקט הנאשם כלפי המתלונן</w:t>
      </w:r>
      <w:r>
        <w:rPr>
          <w:rtl w:val="true"/>
        </w:rPr>
        <w:t xml:space="preserve">, </w:t>
      </w:r>
      <w:r>
        <w:rPr>
          <w:rtl w:val="true"/>
        </w:rPr>
        <w:t>בוצעה באמצעות נשק חם</w:t>
      </w:r>
      <w:r>
        <w:rPr>
          <w:rtl w:val="true"/>
        </w:rPr>
        <w:t xml:space="preserve">. </w:t>
      </w:r>
      <w:r>
        <w:rPr>
          <w:rtl w:val="true"/>
        </w:rPr>
        <w:t>עבירות הנשק הפכו בעת האחרונה למכת מדינה</w:t>
      </w:r>
      <w:r>
        <w:rPr>
          <w:rtl w:val="true"/>
        </w:rPr>
        <w:t xml:space="preserve">. </w:t>
      </w:r>
      <w:r>
        <w:rPr>
          <w:rtl w:val="true"/>
        </w:rPr>
        <w:t>התופעה של החזקת כלי נשק באופן בלתי</w:t>
      </w:r>
      <w:r>
        <w:rPr>
          <w:rtl w:val="true"/>
        </w:rPr>
        <w:t>-</w:t>
      </w:r>
      <w:r>
        <w:rPr>
          <w:rtl w:val="true"/>
        </w:rPr>
        <w:t>חוקי ובהעדר רישיון לכך</w:t>
      </w:r>
      <w:r>
        <w:rPr>
          <w:rtl w:val="true"/>
        </w:rPr>
        <w:t xml:space="preserve">, </w:t>
      </w:r>
      <w:r>
        <w:rPr>
          <w:rtl w:val="true"/>
        </w:rPr>
        <w:t>היא תופעה מדאיגה ביותר</w:t>
      </w:r>
      <w:r>
        <w:rPr>
          <w:rtl w:val="true"/>
        </w:rPr>
        <w:t xml:space="preserve">, </w:t>
      </w:r>
      <w:r>
        <w:rPr>
          <w:rtl w:val="true"/>
        </w:rPr>
        <w:t>בעלת השלכות חמורות על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כלי נשק העוברים מיד ליד</w:t>
      </w:r>
      <w:r>
        <w:rPr>
          <w:rtl w:val="true"/>
        </w:rPr>
        <w:t xml:space="preserve">, </w:t>
      </w:r>
      <w:r>
        <w:rPr>
          <w:rtl w:val="true"/>
        </w:rPr>
        <w:t>באופן בלתי חוקי</w:t>
      </w:r>
      <w:r>
        <w:rPr>
          <w:rtl w:val="true"/>
        </w:rPr>
        <w:t xml:space="preserve">, </w:t>
      </w:r>
      <w:r>
        <w:rPr>
          <w:rtl w:val="true"/>
        </w:rPr>
        <w:t>חזקה עליהם כי לא נועדו לשמש למטרה חוקית</w:t>
      </w:r>
      <w:r>
        <w:rPr>
          <w:rtl w:val="true"/>
        </w:rPr>
        <w:t xml:space="preserve">, </w:t>
      </w:r>
      <w:r>
        <w:rPr>
          <w:rtl w:val="true"/>
        </w:rPr>
        <w:t xml:space="preserve">וטמונה בהם סכנת חיים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2911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בימינו</w:t>
      </w:r>
      <w:r>
        <w:rPr>
          <w:rtl w:val="true"/>
        </w:rPr>
        <w:t xml:space="preserve">, </w:t>
      </w:r>
      <w:r>
        <w:rPr>
          <w:rtl w:val="true"/>
        </w:rPr>
        <w:t>כשהאלימות משתוללת ברחבי הארץ</w:t>
      </w:r>
      <w:r>
        <w:rPr>
          <w:rtl w:val="true"/>
        </w:rPr>
        <w:t xml:space="preserve">, </w:t>
      </w:r>
      <w:r>
        <w:rPr>
          <w:rtl w:val="true"/>
        </w:rPr>
        <w:t>וחיי אדם הפכו הפקר</w:t>
      </w:r>
      <w:r>
        <w:rPr>
          <w:rtl w:val="true"/>
        </w:rPr>
        <w:t xml:space="preserve">, </w:t>
      </w:r>
      <w:r>
        <w:rPr>
          <w:rtl w:val="true"/>
        </w:rPr>
        <w:t>עבירות בנשק הוגדרו בפסיקה כעבירות חמורות ביותר</w:t>
      </w:r>
      <w:r>
        <w:rPr>
          <w:rtl w:val="true"/>
        </w:rPr>
        <w:t xml:space="preserve">. </w:t>
      </w:r>
      <w:r>
        <w:rPr>
          <w:rtl w:val="true"/>
        </w:rPr>
        <w:t>בתי המשפט ביטאו לא פעם עמדה</w:t>
      </w:r>
      <w:r>
        <w:rPr>
          <w:rtl w:val="true"/>
        </w:rPr>
        <w:t xml:space="preserve">, </w:t>
      </w:r>
      <w:r>
        <w:rPr>
          <w:rtl w:val="true"/>
        </w:rPr>
        <w:t>לפיה גם מי שאין לו עבר פלילי</w:t>
      </w:r>
      <w:r>
        <w:rPr>
          <w:rtl w:val="true"/>
        </w:rPr>
        <w:t xml:space="preserve">, </w:t>
      </w:r>
      <w:r>
        <w:rPr>
          <w:rtl w:val="true"/>
        </w:rPr>
        <w:t>וזו לו העבירה הראשונה</w:t>
      </w:r>
      <w:r>
        <w:rPr>
          <w:rtl w:val="true"/>
        </w:rPr>
        <w:t xml:space="preserve">, </w:t>
      </w:r>
      <w:r>
        <w:rPr>
          <w:rtl w:val="true"/>
        </w:rPr>
        <w:t>ראוי לענישה מחמירה ומרתיעה באם ביצע עבירות בנשק</w:t>
      </w:r>
      <w:r>
        <w:rPr>
          <w:rtl w:val="true"/>
        </w:rPr>
        <w:t xml:space="preserve">. </w:t>
      </w:r>
      <w:r>
        <w:rPr>
          <w:rtl w:val="true"/>
        </w:rPr>
        <w:t>התפיסה הנה כי יש ליתן משקל נכבד לאינטרס הציבורי ולצורך להרתיע עבריינים בכוח מלבצע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ולהעדיפם על פני נסיבותיו האישיות של מבצע העבירה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29/3/04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 xml:space="preserve">בעניין </w:t>
      </w:r>
      <w:r>
        <w:rPr>
          <w:b/>
          <w:b/>
          <w:bCs/>
          <w:rtl w:val="true"/>
        </w:rPr>
        <w:t>אבו מוך</w:t>
      </w:r>
      <w:r>
        <w:rPr>
          <w:rtl w:val="true"/>
        </w:rPr>
        <w:t xml:space="preserve"> קבע בית</w:t>
      </w:r>
      <w:r>
        <w:rPr>
          <w:rtl w:val="true"/>
        </w:rPr>
        <w:t>-</w:t>
      </w:r>
      <w:r>
        <w:rPr>
          <w:rtl w:val="true"/>
        </w:rPr>
        <w:t>המשפט העליון מדרג לעבירות נשק</w:t>
      </w:r>
      <w:r>
        <w:rPr>
          <w:rtl w:val="true"/>
        </w:rPr>
        <w:t xml:space="preserve">, </w:t>
      </w:r>
      <w:r>
        <w:rPr>
          <w:rtl w:val="true"/>
        </w:rPr>
        <w:t>ובאותו עניין הוגדרה החזקת נשק לשם ביצוע עבירה פלילית ספציפית</w:t>
      </w:r>
      <w:r>
        <w:rPr>
          <w:rtl w:val="true"/>
        </w:rPr>
        <w:t xml:space="preserve">, </w:t>
      </w:r>
      <w:r>
        <w:rPr>
          <w:rtl w:val="true"/>
        </w:rPr>
        <w:t>כעבירת נשק במדרג הגבוה והכבד ביותר של חומרה</w:t>
      </w:r>
      <w:r>
        <w:rPr>
          <w:rtl w:val="true"/>
        </w:rPr>
        <w:t xml:space="preserve">, </w:t>
      </w:r>
      <w:r>
        <w:rPr>
          <w:rtl w:val="true"/>
        </w:rPr>
        <w:t xml:space="preserve">ביחס לעבירות נשק אחרות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 מוך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לז</w:t>
        </w:r>
      </w:hyperlink>
      <w:r>
        <w:rPr>
          <w:b/>
          <w:rtl w:val="true"/>
        </w:rPr>
        <w:t>(</w:t>
      </w:r>
      <w:r>
        <w:rPr>
          <w:b/>
        </w:rPr>
        <w:t>3</w:t>
      </w:r>
      <w:r>
        <w:rPr>
          <w:b/>
          <w:rtl w:val="true"/>
        </w:rPr>
        <w:t xml:space="preserve">) </w:t>
      </w:r>
      <w:r>
        <w:rPr>
          <w:b/>
        </w:rPr>
        <w:t>668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הנאשם ניסה לטעון כי המתלונן פעל בהתגרות כלפיו כאשר טען שהנאשם שפרץ לביתו וגנב ממנו</w:t>
      </w:r>
      <w:r>
        <w:rPr>
          <w:rtl w:val="true"/>
        </w:rPr>
        <w:t xml:space="preserve">, </w:t>
      </w:r>
      <w:r>
        <w:rPr>
          <w:rtl w:val="true"/>
        </w:rPr>
        <w:t>כנסיבה לקולה המצויה ברקע לביצוע המעשים</w:t>
      </w:r>
      <w:r>
        <w:rPr>
          <w:rtl w:val="true"/>
        </w:rPr>
        <w:t xml:space="preserve">. </w:t>
      </w:r>
      <w:r>
        <w:rPr>
          <w:rtl w:val="true"/>
        </w:rPr>
        <w:t>נסיבה זו אמנם קיבלה ביטוי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ואולם נרשם בכתב האישום כי הויכוח המילולי פרץ בין הנאשם ובן דודו ובין ילדיו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על רקע </w:t>
      </w:r>
      <w:r>
        <w:rPr>
          <w:b/>
          <w:b/>
          <w:bCs/>
          <w:rtl w:val="true"/>
        </w:rPr>
        <w:t xml:space="preserve">שמועה </w:t>
      </w:r>
      <w:r>
        <w:rPr>
          <w:rtl w:val="true"/>
        </w:rPr>
        <w:t>על חשדותיו של המתלונן בנאשם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לא פרץ ויכוח בין הנאשם ובין המתלונן עצמו</w:t>
      </w:r>
      <w:r>
        <w:rPr>
          <w:rtl w:val="true"/>
        </w:rPr>
        <w:t xml:space="preserve">, </w:t>
      </w:r>
      <w:r>
        <w:rPr>
          <w:rtl w:val="true"/>
        </w:rPr>
        <w:t>כך שהנאשם פעל באלימות כלפי המתלונן</w:t>
      </w:r>
      <w:r>
        <w:rPr>
          <w:rtl w:val="true"/>
        </w:rPr>
        <w:t xml:space="preserve">, </w:t>
      </w:r>
      <w:r>
        <w:rPr>
          <w:rtl w:val="true"/>
        </w:rPr>
        <w:t>מבלי שקדם למעשה ויכוח ישיר או עימות פיזי ביניהם</w:t>
      </w:r>
      <w:r>
        <w:rPr>
          <w:rtl w:val="true"/>
        </w:rPr>
        <w:t xml:space="preserve">, </w:t>
      </w:r>
      <w:r>
        <w:rPr>
          <w:rtl w:val="true"/>
        </w:rPr>
        <w:t>ומבלי שהמתלונן התגרה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סקירת מדיניות הענישה הנהוגה בעבירות בהן הורשע הנאשם מלמדת על טווח ענישה רחב</w:t>
      </w:r>
      <w:r>
        <w:rPr>
          <w:rtl w:val="true"/>
        </w:rPr>
        <w:t xml:space="preserve">, </w:t>
      </w:r>
      <w:r>
        <w:rPr>
          <w:rtl w:val="true"/>
        </w:rPr>
        <w:t>התלוי ברובו בנסיבות ביצוע המעשים</w:t>
      </w:r>
      <w:r>
        <w:rPr>
          <w:rtl w:val="true"/>
        </w:rPr>
        <w:t xml:space="preserve">, </w:t>
      </w:r>
      <w:r>
        <w:rPr>
          <w:rtl w:val="true"/>
        </w:rPr>
        <w:t>כמו גם בנסיבות הספציפיות של מבצעי העבירות</w:t>
      </w:r>
      <w:r>
        <w:rPr>
          <w:rtl w:val="true"/>
        </w:rPr>
        <w:t xml:space="preserve">. </w:t>
      </w:r>
      <w:r>
        <w:rPr>
          <w:rtl w:val="true"/>
        </w:rPr>
        <w:t>יש לציין כי סקירת הפסיקה הצביעה על מקרים רבים בהם המעשים כגון אלה שביצע הנאשם הובילו לתוצאות חמורות של פגיעה בגוף</w:t>
      </w:r>
      <w:r>
        <w:rPr>
          <w:rtl w:val="true"/>
        </w:rPr>
        <w:t xml:space="preserve">, </w:t>
      </w:r>
      <w:r>
        <w:rPr>
          <w:rtl w:val="true"/>
        </w:rPr>
        <w:t>ומעטים הם המקרים בהם לא התרחשה פגיעה כלשהי בגוף</w:t>
      </w:r>
      <w:r>
        <w:rPr>
          <w:rtl w:val="true"/>
        </w:rPr>
        <w:t xml:space="preserve">, </w:t>
      </w:r>
      <w:r>
        <w:rPr>
          <w:rtl w:val="true"/>
        </w:rPr>
        <w:t>דבר המלמד כשלעצמו על הפוטנציאל ההרסני הטמון במעשים מעין אלה</w:t>
      </w:r>
      <w:r>
        <w:rPr>
          <w:rtl w:val="true"/>
        </w:rPr>
        <w:t xml:space="preserve">. </w:t>
      </w:r>
      <w:r>
        <w:rPr>
          <w:rtl w:val="true"/>
        </w:rPr>
        <w:t>כן העובדה שבענייננו נעשה שימוש בנשק חם מוסיפה חומרה למעשים</w:t>
      </w:r>
      <w:r>
        <w:rPr>
          <w:rtl w:val="true"/>
        </w:rPr>
        <w:t xml:space="preserve">, </w:t>
      </w:r>
      <w:r>
        <w:rPr>
          <w:rtl w:val="true"/>
        </w:rPr>
        <w:t>ובתוספת ההרשעה בעבירות בנשק</w:t>
      </w:r>
      <w:r>
        <w:rPr>
          <w:rtl w:val="true"/>
        </w:rPr>
        <w:t xml:space="preserve">, </w:t>
      </w:r>
      <w:r>
        <w:rPr>
          <w:rtl w:val="true"/>
        </w:rPr>
        <w:t>הופכת את סקירת המדיניות הנהוגה</w:t>
      </w:r>
      <w:r>
        <w:rPr>
          <w:rtl w:val="true"/>
        </w:rPr>
        <w:t xml:space="preserve">, </w:t>
      </w:r>
      <w:r>
        <w:rPr>
          <w:rtl w:val="true"/>
        </w:rPr>
        <w:t>ואת קביעת מתחם הענישה ההולם</w:t>
      </w:r>
      <w:r>
        <w:rPr>
          <w:rtl w:val="true"/>
        </w:rPr>
        <w:t xml:space="preserve">, </w:t>
      </w:r>
      <w:r>
        <w:rPr>
          <w:rtl w:val="true"/>
        </w:rPr>
        <w:t>למלאכה מורכבת במיוחד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2773/11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רקיבי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14.11.11</w:t>
      </w:r>
      <w:r>
        <w:rPr>
          <w:rtl w:val="true"/>
        </w:rPr>
        <w:t xml:space="preserve">), </w:t>
      </w:r>
      <w:r>
        <w:rPr>
          <w:rtl w:val="true"/>
        </w:rPr>
        <w:t>נדון עניינו של מערער</w:t>
      </w:r>
      <w:r>
        <w:rPr>
          <w:rtl w:val="true"/>
        </w:rPr>
        <w:t xml:space="preserve">, </w:t>
      </w:r>
      <w:r>
        <w:rPr>
          <w:rtl w:val="true"/>
        </w:rPr>
        <w:t>שהורשע בעבירות של 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הובלת נשק ואיומים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שכלל לא הורשע בעבירת אלימות</w:t>
      </w:r>
      <w:r>
        <w:rPr>
          <w:rtl w:val="true"/>
        </w:rPr>
        <w:t xml:space="preserve">), </w:t>
      </w:r>
      <w:r>
        <w:rPr>
          <w:rtl w:val="true"/>
        </w:rPr>
        <w:t>לאחר שירה ארבע יריות מאקדח</w:t>
      </w:r>
      <w:r>
        <w:rPr>
          <w:rtl w:val="true"/>
        </w:rPr>
        <w:t xml:space="preserve">, </w:t>
      </w:r>
      <w:r>
        <w:rPr>
          <w:rtl w:val="true"/>
        </w:rPr>
        <w:t>לעבר מקום מגוריו של המתלונן ולא פגע בו</w:t>
      </w:r>
      <w:r>
        <w:rPr>
          <w:rtl w:val="true"/>
        </w:rPr>
        <w:t xml:space="preserve">. </w:t>
      </w:r>
      <w:r>
        <w:rPr>
          <w:rtl w:val="true"/>
        </w:rPr>
        <w:t>למערער הייתה הרשעה אחת קודמת בתחום עבירות הסמים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המחוזי בבאר</w:t>
      </w:r>
      <w:r>
        <w:rPr>
          <w:rtl w:val="true"/>
        </w:rPr>
        <w:t>-</w:t>
      </w:r>
      <w:r>
        <w:rPr>
          <w:rtl w:val="true"/>
        </w:rPr>
        <w:t>שבע ראה את התנהגותו של המערער ככזו המחייבת ענישה מחמיר</w:t>
      </w:r>
      <w:r>
        <w:rPr>
          <w:rtl w:val="true"/>
        </w:rPr>
        <w:t xml:space="preserve">, </w:t>
      </w:r>
      <w:r>
        <w:rPr>
          <w:rtl w:val="true"/>
        </w:rPr>
        <w:t>שתסייע למגר את השימוש בכלי נשק שלא כדין</w:t>
      </w:r>
      <w:r>
        <w:rPr>
          <w:rtl w:val="true"/>
        </w:rPr>
        <w:t xml:space="preserve">, </w:t>
      </w:r>
      <w:r>
        <w:rPr>
          <w:rtl w:val="true"/>
        </w:rPr>
        <w:t>קבע כי העונש שיוטל עליו צריך לשקף גם את פוטנציאל הפגיעה שהיה במעשיו</w:t>
      </w:r>
      <w:r>
        <w:rPr>
          <w:rtl w:val="true"/>
        </w:rPr>
        <w:t xml:space="preserve">, </w:t>
      </w:r>
      <w:r>
        <w:rPr>
          <w:rtl w:val="true"/>
        </w:rPr>
        <w:t>וגזר את דינו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קבע כי אין מקום להתערב בעונשו של המערער</w:t>
      </w:r>
      <w:r>
        <w:rPr>
          <w:rtl w:val="true"/>
        </w:rPr>
        <w:t xml:space="preserve">, </w:t>
      </w:r>
      <w:r>
        <w:rPr>
          <w:rtl w:val="true"/>
        </w:rPr>
        <w:t>אשר סיכן את המתלונן ורק בנס לא קרה 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28.3.12</w:t>
      </w:r>
      <w:r>
        <w:rPr>
          <w:rtl w:val="true"/>
        </w:rPr>
        <w:t xml:space="preserve">), </w:t>
      </w:r>
      <w:r>
        <w:rPr>
          <w:rtl w:val="true"/>
        </w:rPr>
        <w:t>נדון עניינו של משיב</w:t>
      </w:r>
      <w:r>
        <w:rPr>
          <w:rtl w:val="true"/>
        </w:rPr>
        <w:t xml:space="preserve">, </w:t>
      </w:r>
      <w:r>
        <w:rPr>
          <w:rtl w:val="true"/>
        </w:rPr>
        <w:t>שהורשע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ירי באזור מגורים ואיומים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גם כאן</w:t>
      </w:r>
      <w:r>
        <w:rPr>
          <w:rtl w:val="true"/>
        </w:rPr>
        <w:t xml:space="preserve">, </w:t>
      </w:r>
      <w:r>
        <w:rPr>
          <w:rtl w:val="true"/>
        </w:rPr>
        <w:t>אין מדובר בנאשם שהורשע בעבירת אלימות</w:t>
      </w:r>
      <w:r>
        <w:rPr>
          <w:rtl w:val="true"/>
        </w:rPr>
        <w:t xml:space="preserve">), </w:t>
      </w:r>
      <w:r>
        <w:rPr>
          <w:rtl w:val="true"/>
        </w:rPr>
        <w:t>משום שירה כדור בודד מאקדחו</w:t>
      </w:r>
      <w:r>
        <w:rPr>
          <w:rtl w:val="true"/>
        </w:rPr>
        <w:t xml:space="preserve">, </w:t>
      </w:r>
      <w:r>
        <w:rPr>
          <w:rtl w:val="true"/>
        </w:rPr>
        <w:t>בתוך בית בו שהו המתלונן ושני ילדיה הקטינים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המחוזי הטיל על המשיב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>בערעור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>קבע בית</w:t>
      </w:r>
      <w:r>
        <w:rPr>
          <w:rtl w:val="true"/>
        </w:rPr>
        <w:t>-</w:t>
      </w:r>
      <w:r>
        <w:rPr>
          <w:rtl w:val="true"/>
        </w:rPr>
        <w:t>המשפט העליון כי המעשים המיוחסים למשיב חמורים</w:t>
      </w:r>
      <w:r>
        <w:rPr>
          <w:rtl w:val="true"/>
        </w:rPr>
        <w:t xml:space="preserve">, </w:t>
      </w:r>
      <w:r>
        <w:rPr>
          <w:rtl w:val="true"/>
        </w:rPr>
        <w:t>אך בהתחשב בנסיבותיו האישיות ובשל העדר עבר פלילי</w:t>
      </w:r>
      <w:r>
        <w:rPr>
          <w:rtl w:val="true"/>
        </w:rPr>
        <w:t xml:space="preserve">, </w:t>
      </w:r>
      <w:r>
        <w:rPr>
          <w:rtl w:val="true"/>
        </w:rPr>
        <w:t>יש לקבוע כי העונש שנגזר על המשיב הנו הולם</w:t>
      </w:r>
      <w:r>
        <w:rPr>
          <w:rtl w:val="true"/>
        </w:rPr>
        <w:t xml:space="preserve">, </w:t>
      </w:r>
      <w:r>
        <w:rPr>
          <w:rtl w:val="true"/>
        </w:rPr>
        <w:t>וכי ראוי לתת משקל בעניינו לאינטרס השיקומי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4876/12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נדון עניינו של מערער אשר עשה שימוש בנשק וירה על עבר אחרים ברכב</w:t>
      </w:r>
      <w:r>
        <w:rPr>
          <w:rtl w:val="true"/>
        </w:rPr>
        <w:t xml:space="preserve">, </w:t>
      </w:r>
      <w:r>
        <w:rPr>
          <w:rtl w:val="true"/>
        </w:rPr>
        <w:t>באזור מגורים</w:t>
      </w:r>
      <w:r>
        <w:rPr>
          <w:rtl w:val="true"/>
        </w:rPr>
        <w:t xml:space="preserve">, </w:t>
      </w:r>
      <w:r>
        <w:rPr>
          <w:rtl w:val="true"/>
        </w:rPr>
        <w:t>כאשר באורח נס לא נפגע איש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הוטלו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וגם הוא הורשע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ירי באזור מגורים ובמעשה פזיזות ורשלנות בלבד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קיבל את הערעור בחלקו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של המערער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נקבע במפורש כי העונש שהוטל על המערער לא חרג מרף הענישה הנהוג בעבירות דומות</w:t>
      </w:r>
      <w:r>
        <w:rPr>
          <w:rtl w:val="true"/>
        </w:rPr>
        <w:t xml:space="preserve">, </w:t>
      </w:r>
      <w:r>
        <w:rPr>
          <w:rtl w:val="true"/>
        </w:rPr>
        <w:t>לאור חומרת המעשים</w:t>
      </w:r>
      <w:r>
        <w:rPr>
          <w:rtl w:val="true"/>
        </w:rPr>
        <w:t xml:space="preserve">, </w:t>
      </w:r>
      <w:r>
        <w:rPr>
          <w:rtl w:val="true"/>
        </w:rPr>
        <w:t>ונימוקי פסק</w:t>
      </w:r>
      <w:r>
        <w:rPr>
          <w:rtl w:val="true"/>
        </w:rPr>
        <w:t>-</w:t>
      </w:r>
      <w:r>
        <w:rPr>
          <w:rtl w:val="true"/>
        </w:rPr>
        <w:t>הדין עסקו בתוכן הסדר הטיעון בעניינו של המערער</w:t>
      </w:r>
      <w:r>
        <w:rPr>
          <w:rtl w:val="true"/>
        </w:rPr>
        <w:t xml:space="preserve">, </w:t>
      </w:r>
      <w:r>
        <w:rPr>
          <w:rtl w:val="true"/>
        </w:rPr>
        <w:t>ובתיאור השונה בפסק דינו של בית</w:t>
      </w:r>
      <w:r>
        <w:rPr>
          <w:rtl w:val="true"/>
        </w:rPr>
        <w:t>-</w:t>
      </w:r>
      <w:r>
        <w:rPr>
          <w:rtl w:val="true"/>
        </w:rPr>
        <w:t>המשפט המחוזי של 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</w:t>
      </w:r>
      <w:r>
        <w:rPr>
          <w:rtl w:val="true"/>
        </w:rPr>
        <w:t xml:space="preserve">, </w:t>
      </w:r>
      <w:r>
        <w:rPr>
          <w:rtl w:val="true"/>
        </w:rPr>
        <w:t>התבטא באשר לענישה הנהוגה בעבירות מעין 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62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 xml:space="preserve">בא כוח המערער הפנה לפסקי דין שבהם הושתו על נאשמים בעבירות בנשק עונשים פחותים מזה שהוטל על המערער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2006/12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אסדי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28.3.12</w:t>
      </w:r>
      <w:r>
        <w:rPr>
          <w:b/>
          <w:bCs/>
          <w:rtl w:val="true"/>
        </w:rPr>
        <w:t xml:space="preserve">)], </w:t>
      </w:r>
      <w:r>
        <w:rPr>
          <w:b/>
          <w:b/>
          <w:bCs/>
          <w:rtl w:val="true"/>
        </w:rPr>
        <w:t>אולם כידוע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קשה להשוות גזרי דין באורח מתמטי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פס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19.4.2004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פס</w:t>
      </w:r>
      <w:r>
        <w:rPr>
          <w:b/>
          <w:bCs/>
          <w:rtl w:val="true"/>
        </w:rPr>
        <w:t xml:space="preserve">)], </w:t>
      </w:r>
      <w:r>
        <w:rPr>
          <w:b/>
          <w:b/>
          <w:bCs/>
          <w:rtl w:val="true"/>
        </w:rPr>
        <w:t xml:space="preserve">וביחס לרף הענישה הנוהג בעבירות נשק ניתן למצוא פסיקות לכאן ולכאן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 והשוו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8148/03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22.2.2004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בו הותיר בית משפט זה על כנו עונש של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בגין עבירות של נשיאה והחזקת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יריות באזור 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איומים והחזקת נכס חשוד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ובנסיבות המזכירות במידה מה את ענייננו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4460/11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פאיד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28.11.2011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בו החמיר בית משפט זה בעונשו של נאשם שנשא כמות גדולה של כלי נשק וירה כ</w:t>
      </w:r>
      <w:r>
        <w:rPr>
          <w:b/>
          <w:bCs/>
          <w:rtl w:val="true"/>
        </w:rPr>
        <w:t>-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 אקדח במהלך חתונה בלב שכונת 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והעמידו על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לריצוי בפועל בציינו כי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יהיו הדברים בגדר אזהרה לבאות</w:t>
      </w:r>
      <w:r>
        <w:rPr>
          <w:b/>
          <w:bCs/>
          <w:rtl w:val="true"/>
        </w:rPr>
        <w:t>'."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b/>
          <w:b/>
          <w:bCs/>
          <w:rtl w:val="true"/>
        </w:rPr>
        <w:t xml:space="preserve">עמר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 לומר כי העונשים שנגזרו על מבצעי עבירות שפעלו בנסיבות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נעו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ברף התחתון ובין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ברף העליון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כפי שהובא לעיל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 שעסקו בעבירות שבוצעו בנסיבות דומות</w:t>
      </w:r>
      <w:r>
        <w:rPr>
          <w:rtl w:val="true"/>
        </w:rPr>
        <w:t xml:space="preserve">, </w:t>
      </w:r>
      <w:r>
        <w:rPr>
          <w:rtl w:val="true"/>
        </w:rPr>
        <w:t>לא כללו הרשעה בעבירות של ניסיון פציעה בנסיבות מחמירות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 xml:space="preserve">גם מדיניות הענישה הנהוגה בעבירה של פציעה בנסיבות מחמירות </w:t>
      </w:r>
      <w:r>
        <w:rPr>
          <w:rtl w:val="true"/>
        </w:rPr>
        <w:t>(</w:t>
      </w:r>
      <w:r>
        <w:rPr>
          <w:rtl w:val="true"/>
        </w:rPr>
        <w:t>או ניסיון לעבור עבירה זו</w:t>
      </w:r>
      <w:r>
        <w:rPr>
          <w:rtl w:val="true"/>
        </w:rPr>
        <w:t xml:space="preserve">) </w:t>
      </w:r>
      <w:r>
        <w:rPr>
          <w:rtl w:val="true"/>
        </w:rPr>
        <w:t>אינה אחידה</w:t>
      </w:r>
      <w:r>
        <w:rPr>
          <w:rtl w:val="true"/>
        </w:rPr>
        <w:t xml:space="preserve">, </w:t>
      </w:r>
      <w:r>
        <w:rPr>
          <w:rtl w:val="true"/>
        </w:rPr>
        <w:t>והיא תלויה בסוג הפגיעה שנגרמה ובעוצמתה</w:t>
      </w:r>
      <w:r>
        <w:rPr>
          <w:rtl w:val="true"/>
        </w:rPr>
        <w:t xml:space="preserve">, </w:t>
      </w:r>
      <w:r>
        <w:rPr>
          <w:rtl w:val="true"/>
        </w:rPr>
        <w:t>ובסוג הנשק שבו נעשה שימוש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נעה הענישה בין עונשים קלים יחסית </w:t>
      </w:r>
      <w:r>
        <w:rPr>
          <w:rtl w:val="true"/>
        </w:rPr>
        <w:t>(</w:t>
      </w:r>
      <w:r>
        <w:rPr>
          <w:rtl w:val="true"/>
        </w:rPr>
        <w:t>במקרה של ניסיון לעבור את העבירה וללא פציעה בפועל</w:t>
      </w:r>
      <w:r>
        <w:rPr>
          <w:rtl w:val="true"/>
        </w:rPr>
        <w:t xml:space="preserve">) </w:t>
      </w:r>
      <w:r>
        <w:rPr>
          <w:rtl w:val="true"/>
        </w:rPr>
        <w:t>של חודשי מאסר ספורים</w:t>
      </w:r>
      <w:r>
        <w:rPr>
          <w:rtl w:val="true"/>
        </w:rPr>
        <w:t xml:space="preserve">, </w:t>
      </w:r>
      <w:r>
        <w:rPr>
          <w:rtl w:val="true"/>
        </w:rPr>
        <w:t>ברף התחתון</w:t>
      </w:r>
      <w:r>
        <w:rPr>
          <w:rtl w:val="true"/>
        </w:rPr>
        <w:t xml:space="preserve">, </w:t>
      </w:r>
      <w:r>
        <w:rPr>
          <w:rtl w:val="true"/>
        </w:rPr>
        <w:t xml:space="preserve">ובין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ברף העליון</w:t>
      </w:r>
      <w:r>
        <w:rPr>
          <w:rtl w:val="true"/>
        </w:rPr>
        <w:t xml:space="preserve">. </w:t>
      </w:r>
      <w:r>
        <w:rPr>
          <w:rtl w:val="true"/>
        </w:rPr>
        <w:t>יש להדגיש כי במקרים בהם נפסקה ענישה ברף העליון נגרמו בפועל תוצאות קשות של פגיעות בגוף</w:t>
      </w:r>
      <w:r>
        <w:rPr>
          <w:rtl w:val="true"/>
        </w:rPr>
        <w:t xml:space="preserve">. </w:t>
      </w:r>
      <w:r>
        <w:rPr>
          <w:rtl w:val="true"/>
        </w:rPr>
        <w:t>אציין שוב כי במקרים להם נסיבות דומות לענייננו</w:t>
      </w:r>
      <w:r>
        <w:rPr>
          <w:rtl w:val="true"/>
        </w:rPr>
        <w:t xml:space="preserve">, </w:t>
      </w:r>
      <w:r>
        <w:rPr>
          <w:rtl w:val="true"/>
        </w:rPr>
        <w:t>וכאשר אירעו פגיעות בפועל</w:t>
      </w:r>
      <w:r>
        <w:rPr>
          <w:rtl w:val="true"/>
        </w:rPr>
        <w:t xml:space="preserve">, </w:t>
      </w:r>
      <w:r>
        <w:rPr>
          <w:rtl w:val="true"/>
        </w:rPr>
        <w:t>פעמים רבות הורשעו הנאשמים בעבירות חמורות יותר מן העבירה של ניסיון פציעה בנסיבות מחמירות כפי שבענייננו</w:t>
      </w:r>
      <w:r>
        <w:rPr>
          <w:rtl w:val="true"/>
        </w:rPr>
        <w:t xml:space="preserve">, </w:t>
      </w:r>
      <w:r>
        <w:rPr>
          <w:rtl w:val="true"/>
        </w:rPr>
        <w:t>ומכאן הקושי לגזור גזירה שווה בין המקרים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מכיוון שמדובר במספר עבירות המהוות מעשה אחד</w:t>
      </w:r>
      <w:r>
        <w:rPr>
          <w:rtl w:val="true"/>
        </w:rPr>
        <w:t xml:space="preserve">, </w:t>
      </w:r>
      <w:r>
        <w:rPr>
          <w:rtl w:val="true"/>
        </w:rPr>
        <w:t>החוק מורה לבית</w:t>
      </w:r>
      <w:r>
        <w:rPr>
          <w:rtl w:val="true"/>
        </w:rPr>
        <w:t>-</w:t>
      </w:r>
      <w:r>
        <w:rPr>
          <w:rtl w:val="true"/>
        </w:rPr>
        <w:t>המשפט כי יקבע מתחם ענישה הולם אחיד לכלל העבירות</w:t>
      </w:r>
      <w:r>
        <w:rPr>
          <w:rtl w:val="true"/>
        </w:rPr>
        <w:t xml:space="preserve">. </w:t>
      </w:r>
      <w:r>
        <w:rPr>
          <w:rtl w:val="true"/>
        </w:rPr>
        <w:t>יש לציין בהקשר זה</w:t>
      </w:r>
      <w:r>
        <w:rPr>
          <w:rtl w:val="true"/>
        </w:rPr>
        <w:t xml:space="preserve">, </w:t>
      </w:r>
      <w:r>
        <w:rPr>
          <w:rtl w:val="true"/>
        </w:rPr>
        <w:t>כי הנאשם אמנם הורשע בעבירת ניסיון ולא בעבירה המושלמת</w:t>
      </w:r>
      <w:r>
        <w:rPr>
          <w:rtl w:val="true"/>
        </w:rPr>
        <w:t xml:space="preserve">, </w:t>
      </w:r>
      <w:r>
        <w:rPr>
          <w:rtl w:val="true"/>
        </w:rPr>
        <w:t>ואולם 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hyperlink r:id="rId3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3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כל דין החל על הביצוע העיקרי של העבירה המושלמת</w:t>
      </w:r>
      <w:r>
        <w:rPr>
          <w:rtl w:val="true"/>
        </w:rPr>
        <w:t xml:space="preserve">, </w:t>
      </w:r>
      <w:r>
        <w:rPr>
          <w:rtl w:val="true"/>
        </w:rPr>
        <w:t>חל גם על ניסיון לעבור את אותה עבירה</w:t>
      </w:r>
      <w:r>
        <w:rPr>
          <w:rtl w:val="true"/>
        </w:rPr>
        <w:t xml:space="preserve">. </w:t>
      </w:r>
      <w:r>
        <w:rPr>
          <w:rtl w:val="true"/>
        </w:rPr>
        <w:t>קביעה זו כוחה יפה גם לעניין העונש שנקבע לצד אותה עבירה</w:t>
      </w:r>
      <w:r>
        <w:rPr>
          <w:rtl w:val="true"/>
        </w:rPr>
        <w:t xml:space="preserve">, </w:t>
      </w:r>
      <w:r>
        <w:rPr>
          <w:rtl w:val="true"/>
        </w:rPr>
        <w:t>על אף שהעובדה שמדובר בניסיון עשויה להיות מובאת בחשבון במסגרת שיקולי הענישה</w:t>
      </w:r>
      <w:r>
        <w:rPr>
          <w:rtl w:val="true"/>
        </w:rPr>
        <w:t xml:space="preserve">, </w:t>
      </w:r>
      <w:r>
        <w:rPr>
          <w:rtl w:val="true"/>
        </w:rPr>
        <w:t>כפי שאכן אעשה בעניין 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שבחנתי את הנסיבות הקשורות בביצוע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 מדיניות הענישה 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ועמדתי על הערך החברתי הנפגע מביצוע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הגעתי לכלל מסקנה כי מתחם העונש ההולם בעניינו של הנאשם הנו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לבין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hyperlink r:id="rId3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מורנו</w:t>
      </w:r>
      <w:r>
        <w:rPr>
          <w:rtl w:val="true"/>
        </w:rPr>
        <w:t>: "</w:t>
      </w:r>
      <w:r>
        <w:rPr>
          <w:rtl w:val="true"/>
        </w:rPr>
        <w:t>בתוך מתחם העונש ההולם יגזור בית המשפט את העונש המתאים לנאשם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בנסיבות שאינן קשורות בביצוע העבירה כאמור </w:t>
      </w:r>
      <w:hyperlink r:id="rId41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ואולם בית המשפט רשאי לחרוג ממתחם העונש ההולם בשל שיקולי שיקום או הגנה על שלום הציבור לפי הוראות </w:t>
      </w:r>
      <w:hyperlink r:id="rId42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43"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>."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לנאשם דנן הרשעה אחת קודמת בעבירה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לאחר שדקר שניים באמצעות סכין</w:t>
      </w:r>
      <w:r>
        <w:rPr>
          <w:rtl w:val="true"/>
        </w:rPr>
        <w:t xml:space="preserve">, </w:t>
      </w:r>
      <w:r>
        <w:rPr>
          <w:rtl w:val="true"/>
        </w:rPr>
        <w:t>בגינה ריצה עונש מאסר בפועל</w:t>
      </w:r>
      <w:r>
        <w:rPr>
          <w:rtl w:val="true"/>
        </w:rPr>
        <w:t xml:space="preserve">. </w:t>
      </w:r>
      <w:r>
        <w:rPr>
          <w:rtl w:val="true"/>
        </w:rPr>
        <w:t>אמנם אין מדובר בעבר פלילי מכביד</w:t>
      </w:r>
      <w:r>
        <w:rPr>
          <w:rtl w:val="true"/>
        </w:rPr>
        <w:t xml:space="preserve">, </w:t>
      </w:r>
      <w:r>
        <w:rPr>
          <w:rtl w:val="true"/>
        </w:rPr>
        <w:t>אך ההרשעה הקודמת הנה בתחום האלימות</w:t>
      </w:r>
      <w:r>
        <w:rPr>
          <w:rtl w:val="true"/>
        </w:rPr>
        <w:t xml:space="preserve">, </w:t>
      </w:r>
      <w:r>
        <w:rPr>
          <w:rtl w:val="true"/>
        </w:rPr>
        <w:t>כשהעבירה בוצעה תוך שימוש בנשק קר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 הנאשם לא השכיל להפיק את הלקח הנדרש מתקופת המאסר הקודמת אותה ריצה</w:t>
      </w:r>
      <w:r>
        <w:rPr>
          <w:rtl w:val="true"/>
        </w:rPr>
        <w:t xml:space="preserve">, </w:t>
      </w:r>
      <w:r>
        <w:rPr>
          <w:rtl w:val="true"/>
        </w:rPr>
        <w:t>ובחר לפעול פעם נוספת בדרך אלימה על</w:t>
      </w:r>
      <w:r>
        <w:rPr>
          <w:rtl w:val="true"/>
        </w:rPr>
        <w:t>-</w:t>
      </w:r>
      <w:r>
        <w:rPr>
          <w:rtl w:val="true"/>
        </w:rPr>
        <w:t>מנת ליישב מחלוקות</w:t>
      </w:r>
      <w:r>
        <w:rPr>
          <w:rtl w:val="true"/>
        </w:rPr>
        <w:t xml:space="preserve">, </w:t>
      </w:r>
      <w:r>
        <w:rPr>
          <w:rtl w:val="true"/>
        </w:rPr>
        <w:t>הפעם באמצעות נשק חם</w:t>
      </w:r>
      <w:r>
        <w:rPr>
          <w:rtl w:val="true"/>
        </w:rPr>
        <w:t xml:space="preserve">, </w:t>
      </w:r>
      <w:r>
        <w:rPr>
          <w:rtl w:val="true"/>
        </w:rPr>
        <w:t>כך שהמעשה דנן מבטא הסלמה ביחס לאירוע 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בפני שירות המבחן</w:t>
      </w:r>
      <w:r>
        <w:rPr>
          <w:rtl w:val="true"/>
        </w:rPr>
        <w:t xml:space="preserve">, </w:t>
      </w:r>
      <w:r>
        <w:rPr>
          <w:rtl w:val="true"/>
        </w:rPr>
        <w:t>נמנע מליטול אחריות מלאה למעשים</w:t>
      </w:r>
      <w:r>
        <w:rPr>
          <w:rtl w:val="true"/>
        </w:rPr>
        <w:t xml:space="preserve">, </w:t>
      </w:r>
      <w:r>
        <w:rPr>
          <w:rtl w:val="true"/>
        </w:rPr>
        <w:t>הכחיש את ביצוע העבירות</w:t>
      </w:r>
      <w:r>
        <w:rPr>
          <w:rtl w:val="true"/>
        </w:rPr>
        <w:t xml:space="preserve">, </w:t>
      </w:r>
      <w:r>
        <w:rPr>
          <w:rtl w:val="true"/>
        </w:rPr>
        <w:t>וטען שלא חפץ לפגוע בנאשם</w:t>
      </w:r>
      <w:r>
        <w:rPr>
          <w:rtl w:val="true"/>
        </w:rPr>
        <w:t xml:space="preserve">. </w:t>
      </w:r>
      <w:r>
        <w:rPr>
          <w:rtl w:val="true"/>
        </w:rPr>
        <w:t>אי נטילת אחריות בפני שירות המבחן אינה עולה בקנה אחד עם הודאתו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הודאה שנמסרה מרצונו החופשי והטוב</w:t>
      </w:r>
      <w:r>
        <w:rPr>
          <w:rtl w:val="true"/>
        </w:rPr>
        <w:t xml:space="preserve">. </w:t>
      </w:r>
      <w:r>
        <w:rPr>
          <w:rtl w:val="true"/>
        </w:rPr>
        <w:t>העובדה שהנאשם נמנע מליטול אחריות למעשים</w:t>
      </w:r>
      <w:r>
        <w:rPr>
          <w:rtl w:val="true"/>
        </w:rPr>
        <w:t xml:space="preserve">, </w:t>
      </w:r>
      <w:r>
        <w:rPr>
          <w:rtl w:val="true"/>
        </w:rPr>
        <w:t>ולא עמד על הבעייתיות שבהתנהגותו הובילה את שירות המבחן לקבוע לגביו כי קיימת סבירות להישנות ההתנהגות הבעייתית בעתיד</w:t>
      </w:r>
      <w:r>
        <w:rPr>
          <w:rtl w:val="true"/>
        </w:rPr>
        <w:t xml:space="preserve">, </w:t>
      </w:r>
      <w:r>
        <w:rPr>
          <w:rtl w:val="true"/>
        </w:rPr>
        <w:t>ולהימנע ממתן המלצה טיפולית בעניינו</w:t>
      </w:r>
      <w:r>
        <w:rPr>
          <w:rtl w:val="true"/>
        </w:rPr>
        <w:t xml:space="preserve">, </w:t>
      </w:r>
      <w:r>
        <w:rPr>
          <w:rtl w:val="true"/>
        </w:rPr>
        <w:t>חרף גילו הצעיר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הבאתי במניין השיקולים את העובדה שנערכה סולחה בין משפחות המתלונן והנאשם</w:t>
      </w:r>
      <w:r>
        <w:rPr>
          <w:rtl w:val="true"/>
        </w:rPr>
        <w:t xml:space="preserve">, </w:t>
      </w:r>
      <w:r>
        <w:rPr>
          <w:rtl w:val="true"/>
        </w:rPr>
        <w:t>ואולם שיקול זה אינו יכול להכריע את הכף לטובת ענישה הסוטה ממדיניות הענישה שנקבעה על</w:t>
      </w:r>
      <w:r>
        <w:rPr>
          <w:rtl w:val="true"/>
        </w:rPr>
        <w:t>-</w:t>
      </w:r>
      <w:r>
        <w:rPr>
          <w:rtl w:val="true"/>
        </w:rPr>
        <w:t>ידי בית המשפט העליון</w:t>
      </w:r>
      <w:r>
        <w:rPr>
          <w:rtl w:val="true"/>
        </w:rPr>
        <w:t xml:space="preserve">.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ככל שהיא צעד חיובי</w:t>
      </w:r>
      <w:r>
        <w:rPr>
          <w:rtl w:val="true"/>
        </w:rPr>
        <w:t xml:space="preserve">, </w:t>
      </w:r>
      <w:r>
        <w:rPr>
          <w:rtl w:val="true"/>
        </w:rPr>
        <w:t xml:space="preserve">אינה מהווה שיקול מכריע בגזירת העונש ואינה יכולה לבוא תחת ענישה הולמת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2584/07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אגבריה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23.12.07</w:t>
      </w:r>
      <w:r>
        <w:rPr>
          <w:rtl w:val="true"/>
        </w:rPr>
        <w:t>).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על העונש הראוי לנאשם בגדרי מתחם העונש ההולם לשקף את חומרת המעשה כפי שתוארה לעיל</w:t>
      </w:r>
      <w:r>
        <w:rPr>
          <w:rtl w:val="true"/>
        </w:rPr>
        <w:t xml:space="preserve">, </w:t>
      </w:r>
      <w:r>
        <w:rPr>
          <w:rtl w:val="true"/>
        </w:rPr>
        <w:t>את מידת אשמו</w:t>
      </w:r>
      <w:r>
        <w:rPr>
          <w:rtl w:val="true"/>
        </w:rPr>
        <w:t xml:space="preserve">, </w:t>
      </w:r>
      <w:r>
        <w:rPr>
          <w:rtl w:val="true"/>
        </w:rPr>
        <w:t>ואת המשקל המצטבר של הנסיבות האישיות שנמנו לעיל</w:t>
      </w:r>
      <w:r>
        <w:rPr>
          <w:rtl w:val="true"/>
        </w:rPr>
        <w:t xml:space="preserve">. </w:t>
      </w:r>
      <w:r>
        <w:rPr>
          <w:rtl w:val="true"/>
        </w:rPr>
        <w:t>בפסיקת בית</w:t>
      </w:r>
      <w:r>
        <w:rPr>
          <w:rtl w:val="true"/>
        </w:rPr>
        <w:t>-</w:t>
      </w:r>
      <w:r>
        <w:rPr>
          <w:rtl w:val="true"/>
        </w:rPr>
        <w:t>המשפט העליון נקבע 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62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בסוג העבירות בהן הורשע המערער חייבת להינתן הבכורה לצורכי הרתעה ולשיקולי הגנה על 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התפשטות נגע האלימות מחייבת העברת מסר ברור ונחרץ המוליד את הצורך בענישה 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 לא יהיה בנכונותו וברצונו של העבריין 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כשלעצמם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 להצדיק הקלה בעונשו</w:t>
      </w:r>
      <w:r>
        <w:rPr>
          <w:rtl w:val="true"/>
        </w:rPr>
        <w:t>..." (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פנה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25.9.2007</w:t>
      </w:r>
      <w:r>
        <w:rPr>
          <w:rtl w:val="true"/>
        </w:rPr>
        <w:t xml:space="preserve">), </w:t>
      </w:r>
      <w:r>
        <w:rPr>
          <w:rtl w:val="true"/>
        </w:rPr>
        <w:t>וההפניות שם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באשר להפעלת התנאי</w:t>
      </w:r>
      <w:r>
        <w:rPr>
          <w:rtl w:val="true"/>
        </w:rPr>
        <w:t xml:space="preserve">, </w:t>
      </w:r>
      <w:r>
        <w:rPr>
          <w:rtl w:val="true"/>
        </w:rPr>
        <w:t xml:space="preserve">הדין הוא עם המאשימה </w:t>
      </w:r>
      <w:r>
        <w:rPr>
          <w:rtl w:val="true"/>
        </w:rPr>
        <w:t>(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 הנאשם לא חלק על כך</w:t>
      </w:r>
      <w:r>
        <w:rPr>
          <w:rtl w:val="true"/>
        </w:rPr>
        <w:t xml:space="preserve">), </w:t>
      </w:r>
      <w:r>
        <w:rPr>
          <w:rtl w:val="true"/>
        </w:rPr>
        <w:t>כי ניתן להפעיל עונש מאסר מותנה</w:t>
      </w:r>
      <w:r>
        <w:rPr>
          <w:rtl w:val="true"/>
        </w:rPr>
        <w:t xml:space="preserve">, </w:t>
      </w:r>
      <w:r>
        <w:rPr>
          <w:rtl w:val="true"/>
        </w:rPr>
        <w:t>מקום בו הנאשם הורשע בניסיון לעבור את עבירת התנאי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בעניינו של הנאשם יש להפעיל את התנאי המתייחס לעבירת אלימות מסוג פשע בלבד</w:t>
      </w:r>
      <w:r>
        <w:rPr>
          <w:rtl w:val="true"/>
        </w:rPr>
        <w:t xml:space="preserve">, </w:t>
      </w:r>
      <w:r>
        <w:rPr>
          <w:rtl w:val="true"/>
        </w:rPr>
        <w:t>ואין מקום להפעיל את התנאי שהתייחס לעבירת אלימות מסוג עוון</w:t>
      </w:r>
      <w:r>
        <w:rPr>
          <w:rtl w:val="true"/>
        </w:rPr>
        <w:t xml:space="preserve">, </w:t>
      </w:r>
      <w:r>
        <w:rPr>
          <w:rtl w:val="true"/>
        </w:rPr>
        <w:t>וזאת על</w:t>
      </w:r>
      <w:r>
        <w:rPr>
          <w:rtl w:val="true"/>
        </w:rPr>
        <w:t>-</w:t>
      </w:r>
      <w:r>
        <w:rPr>
          <w:rtl w:val="true"/>
        </w:rPr>
        <w:t>אף שבקשת המאשימה הייתה להפעלת שתי תקופות המאסר 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/>
      </w:pPr>
      <w:r>
        <w:rPr>
          <w:rtl w:val="true"/>
        </w:rPr>
        <w:t>בטרם חתימה אציין כי ראיתי לפסוק פיצוי לטובת המתלונן</w:t>
      </w:r>
      <w:r>
        <w:rPr>
          <w:rtl w:val="true"/>
        </w:rPr>
        <w:t xml:space="preserve">, </w:t>
      </w:r>
      <w:r>
        <w:rPr>
          <w:rtl w:val="true"/>
        </w:rPr>
        <w:t>אשר מעבר לנזק לרכוש שנגרם לו</w:t>
      </w:r>
      <w:r>
        <w:rPr>
          <w:rtl w:val="true"/>
        </w:rPr>
        <w:t xml:space="preserve">, </w:t>
      </w:r>
      <w:r>
        <w:rPr>
          <w:rtl w:val="true"/>
        </w:rPr>
        <w:t>האירוע היווה מבחינתו חוויה שהטילה עליו אימה גדולה</w:t>
      </w:r>
      <w:r>
        <w:rPr>
          <w:rtl w:val="true"/>
        </w:rPr>
        <w:t xml:space="preserve">, </w:t>
      </w:r>
      <w:r>
        <w:rPr>
          <w:rtl w:val="true"/>
        </w:rPr>
        <w:t>והעמידה את חייו ושלמות גופו בסיכון</w:t>
      </w:r>
      <w:r>
        <w:rPr>
          <w:rtl w:val="true"/>
        </w:rPr>
        <w:t xml:space="preserve">. </w:t>
      </w:r>
      <w:r>
        <w:rPr>
          <w:rtl w:val="true"/>
        </w:rPr>
        <w:t>באשר לבקשת המאשימה לפסוק פיצוי לעד סמיר הווארי</w:t>
      </w:r>
      <w:r>
        <w:rPr>
          <w:rtl w:val="true"/>
        </w:rPr>
        <w:t xml:space="preserve">, </w:t>
      </w:r>
      <w:r>
        <w:rPr>
          <w:rtl w:val="true"/>
        </w:rPr>
        <w:t>הרי שלא הובאה כל ראייה בעניין מטעמה</w:t>
      </w:r>
      <w:r>
        <w:rPr>
          <w:rtl w:val="true"/>
        </w:rPr>
        <w:t xml:space="preserve">, </w:t>
      </w:r>
      <w:r>
        <w:rPr>
          <w:rtl w:val="true"/>
        </w:rPr>
        <w:t>ולכן לא מצאתי לחייב את הנאשם בפיצוי על סמך בקשה בעלמא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הנה כי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שקבעתי את מתחם העונש ההולם בנסיבות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לעבירה בה הורשע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 בנסיבות שאינן קשורות בביצוע העבירה כפי שפורטו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את דינו ומטיל עליו את העונשים הבאים</w:t>
      </w:r>
      <w:r>
        <w:rPr>
          <w:b/>
          <w:bCs/>
          <w:rtl w:val="true"/>
        </w:rPr>
        <w:t>:</w:t>
        <w:tab/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שלושים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ושישה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/>
          <w:bCs/>
          <w:rtl w:val="true"/>
        </w:rPr>
        <w:t>עשרים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וארבעה חודשים </w:t>
      </w:r>
      <w:r>
        <w:rPr>
          <w:b/>
          <w:b/>
          <w:bCs/>
          <w:rtl w:val="true"/>
        </w:rPr>
        <w:t>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בניכוי ימי מעצרו מיום </w:t>
      </w:r>
      <w:r>
        <w:rPr>
          <w:b/>
          <w:bCs/>
        </w:rPr>
        <w:t>7.6.12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ואילו היתרה על תנאי למשך </w:t>
      </w:r>
      <w:r>
        <w:rPr>
          <w:b/>
          <w:b/>
          <w:bCs/>
          <w:rtl w:val="true"/>
        </w:rPr>
        <w:t>שלוש</w:t>
      </w:r>
      <w:r>
        <w:rPr>
          <w:b/>
          <w:b/>
          <w:bCs/>
          <w:rtl w:val="true"/>
        </w:rPr>
        <w:t xml:space="preserve"> שנים מיום 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שהנאשם לא יעבור בפרק זמן זה כל עבירת אלימות מסוג פשע</w:t>
      </w:r>
      <w:r>
        <w:rPr>
          <w:b/>
          <w:bCs/>
          <w:rtl w:val="true"/>
        </w:rPr>
        <w:t xml:space="preserve">; 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שנים עשר</w:t>
      </w:r>
      <w:r>
        <w:rPr>
          <w:b/>
          <w:b/>
          <w:bCs/>
          <w:rtl w:val="true"/>
        </w:rPr>
        <w:t xml:space="preserve"> חודשי מאסר על תנאי למשך </w:t>
      </w:r>
      <w:r>
        <w:rPr>
          <w:b/>
          <w:b/>
          <w:bCs/>
          <w:rtl w:val="true"/>
        </w:rPr>
        <w:t>שלוש</w:t>
      </w:r>
      <w:r>
        <w:rPr>
          <w:b/>
          <w:b/>
          <w:bCs/>
          <w:rtl w:val="true"/>
        </w:rPr>
        <w:t xml:space="preserve"> שנים מיום 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והתנאי הוא שהנאשם לא יעבור בפרק זמן עבירה לפי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6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שלושה</w:t>
      </w:r>
      <w:r>
        <w:rPr>
          <w:b/>
          <w:b/>
          <w:bCs/>
          <w:rtl w:val="true"/>
        </w:rPr>
        <w:t xml:space="preserve"> חודשי מאסר על תנאי למשך </w:t>
      </w:r>
      <w:r>
        <w:rPr>
          <w:b/>
          <w:b/>
          <w:bCs/>
          <w:rtl w:val="true"/>
        </w:rPr>
        <w:t>שלוש</w:t>
      </w:r>
      <w:r>
        <w:rPr>
          <w:b/>
          <w:b/>
          <w:bCs/>
          <w:rtl w:val="true"/>
        </w:rPr>
        <w:t xml:space="preserve"> שנים מיום 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שהנאשם לא יעבור בפרק זמן זה עבירה של יריות באזור 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סעיף </w:t>
      </w:r>
      <w:r>
        <w:rPr>
          <w:b/>
          <w:bCs/>
        </w:rPr>
        <w:t>340</w:t>
      </w:r>
      <w:r>
        <w:rPr>
          <w:b/>
          <w:b/>
          <w:bCs/>
          <w:rtl w:val="true"/>
        </w:rPr>
        <w:t>א לחוק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אני מורה על הפעלת עונש המאסר המותנה שהוטל על הנאשם ב</w:t>
      </w:r>
      <w:hyperlink r:id="rId4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שלום נצרת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5452-05-09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 שמונת החודשים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 שחודשיים מתוכו ירוצו במצטבר לעונש המאסר שהוטל עליו בתיק דנן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שה חודשים מתוכו ירוצו בחופף לו</w:t>
      </w:r>
      <w:r>
        <w:rPr>
          <w:b/>
          <w:bCs/>
          <w:rtl w:val="true"/>
        </w:rPr>
        <w:t xml:space="preserve">. </w:t>
        <w:tab/>
        <w:br/>
      </w:r>
      <w:r>
        <w:rPr>
          <w:b/>
          <w:b/>
          <w:bCs/>
          <w:u w:val="single"/>
          <w:rtl w:val="true"/>
        </w:rPr>
        <w:t>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ירצה הנאשם </w:t>
      </w:r>
      <w:r>
        <w:rPr>
          <w:b/>
          <w:b/>
          <w:bCs/>
          <w:u w:val="single"/>
          <w:rtl w:val="true"/>
        </w:rPr>
        <w:t>עשרים ושישה</w:t>
      </w:r>
      <w:bookmarkStart w:id="12" w:name="_GoBack"/>
      <w:bookmarkEnd w:id="12"/>
      <w:r>
        <w:rPr>
          <w:b/>
          <w:b/>
          <w:bCs/>
          <w:u w:val="single"/>
          <w:rtl w:val="true"/>
        </w:rPr>
        <w:t xml:space="preserve"> חודשי מאסר בפועל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בניכוי ימי מעצרו כאמור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יפצה את המתלונן בסך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הפיצוי יועבר למתלונן בתוך </w:t>
      </w:r>
      <w:r>
        <w:rPr>
          <w:b/>
          <w:bCs/>
        </w:rPr>
        <w:t>120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ממועד מתן גזר הדין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-1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35105-06-12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יהאד 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szCs w:val="24"/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David"/>
      <w:szCs w:val="24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12-h1">
    <w:name w:val="12-h1"/>
    <w:qFormat/>
    <w:rPr>
      <w:rFonts w:ascii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12-p">
    <w:name w:val="12-p"/>
    <w:basedOn w:val="Normal"/>
    <w:qFormat/>
    <w:pPr>
      <w:bidi w:val="0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34d" TargetMode="External"/><Relationship Id="rId25" Type="http://schemas.openxmlformats.org/officeDocument/2006/relationships/hyperlink" Target="http://www.nevo.co.il/case/596201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b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case/5920165" TargetMode="External"/><Relationship Id="rId31" Type="http://schemas.openxmlformats.org/officeDocument/2006/relationships/hyperlink" Target="http://www.nevo.co.il/case/6180713" TargetMode="External"/><Relationship Id="rId32" Type="http://schemas.openxmlformats.org/officeDocument/2006/relationships/hyperlink" Target="http://www.nevo.co.il/case/5852404" TargetMode="External"/><Relationship Id="rId33" Type="http://schemas.openxmlformats.org/officeDocument/2006/relationships/hyperlink" Target="http://www.nevo.co.il/case/17929065" TargetMode="External"/><Relationship Id="rId34" Type="http://schemas.openxmlformats.org/officeDocument/2006/relationships/hyperlink" Target="http://www.nevo.co.il/case/5772355" TargetMode="External"/><Relationship Id="rId35" Type="http://schemas.openxmlformats.org/officeDocument/2006/relationships/hyperlink" Target="http://www.nevo.co.il/case/5578534" TargetMode="External"/><Relationship Id="rId36" Type="http://schemas.openxmlformats.org/officeDocument/2006/relationships/hyperlink" Target="http://www.nevo.co.il/case/5588206" TargetMode="External"/><Relationship Id="rId37" Type="http://schemas.openxmlformats.org/officeDocument/2006/relationships/hyperlink" Target="http://www.nevo.co.il/law/70301/34d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c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/40d" TargetMode="External"/><Relationship Id="rId43" Type="http://schemas.openxmlformats.org/officeDocument/2006/relationships/hyperlink" Target="http://www.nevo.co.il/law/70301/40e" TargetMode="External"/><Relationship Id="rId44" Type="http://schemas.openxmlformats.org/officeDocument/2006/relationships/hyperlink" Target="http://www.nevo.co.il/case/5717249" TargetMode="External"/><Relationship Id="rId45" Type="http://schemas.openxmlformats.org/officeDocument/2006/relationships/hyperlink" Target="http://www.nevo.co.il/case/5954809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088083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2022-09-11T10:50:00Z</dcterms:created>
  <dc:creator> </dc:creator>
  <dc:description/>
  <cp:keywords/>
  <dc:language>en-IL</dc:language>
  <cp:lastModifiedBy>h1</cp:lastModifiedBy>
  <dcterms:modified xsi:type="dcterms:W3CDTF">2022-09-11T10:50:00Z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ג'יהאד מחמוד</vt:lpwstr>
  </property>
  <property fmtid="{D5CDD505-2E9C-101B-9397-08002B2CF9AE}" pid="4" name="CASESLISTTMP1">
    <vt:lpwstr>5962012;5920165;6180713;5852404;17929065;5772355;5578534;5588206;5717249;5954809;5088083</vt:lpwstr>
  </property>
  <property fmtid="{D5CDD505-2E9C-101B-9397-08002B2CF9AE}" pid="5" name="CITY">
    <vt:lpwstr>נצ'</vt:lpwstr>
  </property>
  <property fmtid="{D5CDD505-2E9C-101B-9397-08002B2CF9AE}" pid="6" name="DATE">
    <vt:lpwstr>20130219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70301/144.a;144.b;334;335.a.1;025;340a;034d:2;040b;040c.a;040i;040c.b;40ja;040d;040e</vt:lpwstr>
  </property>
  <property fmtid="{D5CDD505-2E9C-101B-9397-08002B2CF9AE}" pid="10" name="LAWYER">
    <vt:lpwstr>פארס ג'ראיסי;שרית מזרחי</vt:lpwstr>
  </property>
  <property fmtid="{D5CDD505-2E9C-101B-9397-08002B2CF9AE}" pid="11" name="NEWPARTA">
    <vt:lpwstr>35105</vt:lpwstr>
  </property>
  <property fmtid="{D5CDD505-2E9C-101B-9397-08002B2CF9AE}" pid="12" name="NEWPARTB">
    <vt:lpwstr>06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390020130219</vt:lpwstr>
  </property>
  <property fmtid="{D5CDD505-2E9C-101B-9397-08002B2CF9AE}" pid="18" name="TYPE_N_DATE">
    <vt:lpwstr>39020130219</vt:lpwstr>
  </property>
  <property fmtid="{D5CDD505-2E9C-101B-9397-08002B2CF9AE}" pid="19" name="WORDNUMPAGES">
    <vt:lpwstr>10</vt:lpwstr>
  </property>
</Properties>
</file>