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935"/>
        <w:gridCol w:w="1200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35121-09-22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935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96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93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962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זיד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מואסי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ממשרדו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בויארת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11" w:name="ABSTRACT_START"/>
      <w:bookmarkStart w:id="12" w:name="ABSTRACT_START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 בעבירות המיוחסות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רישא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מעובדות כתב האישום במועדים הרלוונטיים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התגוררו הנאשם ואשתו בקומה השנייה בבית פרטי בצפון הכפר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זרקא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31/8/22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08:15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מאחורי התנור במטבח הבית נשק דמוי רובה סער </w:t>
      </w:r>
      <w:r>
        <w:rPr>
          <w:rFonts w:cs="Arial" w:ascii="Arial" w:hAnsi="Arial"/>
        </w:rPr>
        <w:t>16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כשהוא מפורק לשני חלקים עטופים בניילון נצמד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הרובה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בלא רשות על פי  דין להחזקתו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ABSTRACT_END"/>
      <w:bookmarkEnd w:id="13"/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בצמוד לרובה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 תואמות ועטופות אף הן בניילון נצמד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בלא רשות על פי דין להחזקתם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המחסניות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באותו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במטבח הבית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בקליבר </w:t>
      </w:r>
      <w:r>
        <w:rPr>
          <w:rFonts w:cs="Arial" w:ascii="Arial" w:hAnsi="Arial"/>
        </w:rPr>
        <w:t>45</w:t>
      </w:r>
      <w:r>
        <w:rPr>
          <w:rFonts w:cs="Arial" w:ascii="Arial" w:hAnsi="Arial"/>
        </w:rPr>
        <w:t>X</w:t>
      </w:r>
      <w:r>
        <w:rPr>
          <w:rFonts w:cs="Arial" w:ascii="Arial" w:hAnsi="Arial"/>
        </w:rPr>
        <w:t xml:space="preserve"> 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וכדור 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הכדורים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בלא רשות על פי דין להחזקתם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הרובה הוא כלי נשק שמסוגל לירות כדור שבכוחו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המחסניות הן אביזרים לכלי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והכדורים הם תחמושת לנשק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אביזרים לכלי נשק ותחמושת בלא רשות על פי דין להחזקתם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25/1/23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נשמעו בפניי טיעוני הצדדים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הפנתה במסגרת טיעוניה לעברו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לעמדתה הערכים החברתיים שנפגעו כתוצאה ממעשי הנאשם הם שמירה על בטחונו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וודאי כאשר עסקינן בהחזקת נשק מסוג תת מקלע המוגדר כנשק קטלני שעלול למצוא את דרכו לפעילות פלילית ואף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בעצם החזקת הנשק קיימת פגיעה בשלטון החוק והסדר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הפנתה בטיעוניה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נגד קריספל לעניין מגמת ההחמרה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6989/13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פרח נגד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לצורך בהטלת עונשים מחמירים שירוצו במאסר בפועל מאחורי סורג ובריח גם ביחס למי שזו הרשעתו הראשונה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לנסיבות הקשורות לביצוע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הפנתה המאשימה לפוטנציאל הנזק שעשוי להיגרם בהחזקת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של הנאשם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לסוג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לעמדתה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מדיניות הענישה העומדת בהתאם להנחיית פרקליט המדינה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נע בין מאסר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ובאשר לעבירה של 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מאסר על תנאי ועד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הטלת ענישה הצופה פני העתיד וקנס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הפנתה בטיעוניה לפסיקה שתואמת ותומכת במתחם שהוצג על 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שהפנתה גם לנסיבות שאינן קשורות לביצוע העבירה המתבטאות בהודאתו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בחיסכון בזמן השיפוטי היקר ובהעדר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המאשימה להעמיד את עונשו של הנאשם בחלקו האמצעי של מתחם העונש ההולם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בצירוף ענישה הצופה פני העתיד וקנס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שלא למצות את מלוא חומרת הדין עם 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לדבריו מדובר בנאשם בן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 קטינים בגילאי שנה עד שש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במסגרת טיעוניו לנסיבותיו האישיות של הנאשם ולנסיבות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 העבירה בה הורשע בכתב האישום המתוקן משקפת החזקת נשק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דמוי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הוחזק על ידו כאשר הנשק היה מפורק לחלקים ולצדו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ומחסנית ריקה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כי הנאשם הודה כבר בישיבת ההקראה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מלאה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 שיפוטי יקר וכן את זמנם של העדים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לפסיקה ולעמדתו מתחם העונש ההולם לעבירות בהן הורשע הנאשם נע בין מאסר שיכול וירוצה בעבודות שרות 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מרשו עצור מיום </w:t>
      </w:r>
      <w:r>
        <w:rPr>
          <w:rFonts w:cs="Arial" w:ascii="Arial" w:hAnsi="Arial"/>
        </w:rPr>
        <w:t>31.8.22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 כן יש להסתפק בתקופת המעצר לצד הטלת ענישה הצופה פני 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ביקש אף הוא לומר את דברו ואמר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הודיתי ואני מצטער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קשה 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אני מבקש את רחמי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עיגן את הבניית שיקול הדעת השיפוטי והעניק מעמד בכורה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קיומו של יחס הולם בין חומרת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לקבוע את מתחם העונש ההולם למעש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יתחשב בית המשפט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הנהוגה ובנסיבות הקשורות בביצוע העבירה המפורטות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לכשייקבע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יקבע בית המשפט את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יוטל על הנאשם וזאת בהתחשב בנסיבות שאינן קשורות בביצוע העבירה המפורטות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hyperlink r:id="rId19"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ascii="Arial" w:hAnsi="Arial" w:cs="Arial"/>
          <w:rtl w:val="true"/>
        </w:rPr>
        <w:t xml:space="preserve"> הואיל ונשק המוחזק שלא כדין עלול להביא לפגיעה בשלטון החוק ובנושאי שלטון החוק המבצעים את תפקידם</w:t>
      </w:r>
      <w:r>
        <w:rPr>
          <w:rFonts w:cs="Arial" w:ascii="Arial" w:hAnsi="Arial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פסיקת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מחמירה מאוד בעבירה של החזקת נשק שלא כדין וזאת נוכח התופעה החמורה והמסוכנת של החזקת נשק בידיים שאינן מורשות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נשק שלא כדין יש בה כדי להוביל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ואכן מובילה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למקרים חמורים של שימוש מסוכן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משום שהנשק מגיע לידיים עברייניות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מגיע לידי מי שמנסים לפגוע בביטחונם ובשלומם של תושבי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אם מחמת שנגרמות תאונות כתוצאה מהשימוש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</w:t>
      </w:r>
      <w:r>
        <w:rPr>
          <w:rFonts w:ascii="Arial" w:hAnsi="Arial" w:cs="Arial"/>
          <w:rtl w:val="true"/>
        </w:rPr>
        <w:t xml:space="preserve">קובע </w:t>
      </w:r>
      <w:r>
        <w:rPr>
          <w:rFonts w:ascii="Arial" w:hAnsi="Arial" w:cs="Arial"/>
          <w:rtl w:val="true"/>
        </w:rPr>
        <w:t xml:space="preserve">גם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לפיו נקבע עונש מינימום ביחס לעבירה בה הורשע הנאשם בהליך זה שלפני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כפי שנכתב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8416/09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חרבוש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ניתן בתאריך </w:t>
      </w:r>
      <w:r>
        <w:rPr>
          <w:rFonts w:cs="Arial" w:ascii="Arial" w:hAnsi="Arial"/>
        </w:rPr>
        <w:t>09.06.10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]):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בהפחדה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הנשיאה </w:t>
      </w:r>
      <w:r>
        <w:rPr>
          <w:rFonts w:ascii="David" w:hAnsi="David"/>
          <w:b/>
          <w:b/>
          <w:bCs/>
          <w:sz w:val="28"/>
          <w:sz w:val="28"/>
          <w:rtl w:val="true"/>
        </w:rPr>
        <w:t>ד</w:t>
      </w:r>
      <w:r>
        <w:rPr>
          <w:rFonts w:cs="David" w:ascii="David" w:hAnsi="David"/>
          <w:b/>
          <w:bCs/>
          <w:sz w:val="28"/>
          <w:rtl w:val="true"/>
        </w:rPr>
        <w:t xml:space="preserve">' </w:t>
      </w:r>
      <w:r>
        <w:rPr>
          <w:rFonts w:ascii="David" w:hAnsi="David"/>
          <w:b/>
          <w:b/>
          <w:bCs/>
          <w:sz w:val="28"/>
          <w:sz w:val="28"/>
          <w:rtl w:val="true"/>
        </w:rPr>
        <w:t>ביניש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19.4.04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מצאתי להפנות לדבריו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ירין ביטון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ניתן בתאריך </w:t>
      </w:r>
      <w:r>
        <w:rPr>
          <w:rFonts w:cs="Arial" w:ascii="Arial" w:hAnsi="Arial"/>
        </w:rPr>
        <w:t>14.02.21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]):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>))...</w:t>
      </w:r>
      <w:r>
        <w:rPr>
          <w:rFonts w:ascii="Arial" w:hAnsi="Arial" w:cs="Arial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Arial" w:ascii="Arial" w:hAnsi="Arial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08.07.14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לזמינות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בארצנו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הקלישאה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מדויקת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."</w:t>
      </w:r>
    </w:p>
    <w:p>
      <w:pPr>
        <w:pStyle w:val="Normal"/>
        <w:autoSpaceDE w:val="false"/>
        <w:spacing w:lineRule="auto" w:line="360"/>
        <w:ind w:start="1418" w:end="1418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</w:rPr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05.11.19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[...] </w:t>
      </w: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>"</w:t>
      </w:r>
    </w:p>
    <w:p>
      <w:pPr>
        <w:pStyle w:val="Normal"/>
        <w:autoSpaceDE w:val="false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13.02.22</w:t>
      </w:r>
      <w:r>
        <w:rPr>
          <w:rtl w:val="true"/>
        </w:rPr>
        <w:t>):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ושגרתיות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לפעמים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התנועה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ושאיפתה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ושונים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" –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שמתמקדת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ובתוצאה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"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b/>
          <w:bCs/>
          <w:rtl w:val="true"/>
        </w:rPr>
        <w:t>"..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נפיצותן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...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23517-02-20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אלכילאני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28.07.20</w:t>
      </w:r>
      <w:r>
        <w:rPr>
          <w:rtl w:val="true"/>
        </w:rPr>
        <w:t>): "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האחרונה</w:t>
      </w:r>
      <w:r>
        <w:rPr>
          <w:rFonts w:cs="David-Bold" w:ascii="David-Bold" w:hAnsi="David-Bold"/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: 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start="0" w:end="0"/>
        <w:jc w:val="both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סקירת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מלמדת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טווח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התלוי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לרוב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ומקרה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0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545/20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פלוני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3.5.21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שהמערער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נקי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באחזקת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אקדח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מחסנית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תואמת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-</w:t>
      </w:r>
      <w:r>
        <w:rPr>
          <w:rFonts w:cs="David" w:ascii="Times New Roman" w:hAnsi="Times New Roman"/>
          <w:spacing w:val="0"/>
          <w:sz w:val="24"/>
          <w:szCs w:val="24"/>
        </w:rPr>
        <w:t>50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כדורים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</w:t>
      </w:r>
    </w:p>
    <w:p>
      <w:pPr>
        <w:pStyle w:val="ruller5"/>
        <w:spacing w:lineRule="auto" w:line="360"/>
        <w:ind w:start="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5765/20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בכר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22.3.21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18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שהמערערים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נקי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בהובלת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אקדחים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טעונים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במחסנית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מלאה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ונאמר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 להצר על כך שהמערערים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שאין להם עבר פלילי ולא הסתבכו בעבירות נוספות מאז האירוע נשוא כתב האישום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הסתבכו בעבירות כגון דא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 הענישה בעבירות נשק ידועה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המדובר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שאת פירות הבאושים שלה אנו חווים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לצערנו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כמעט מידי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ומכאן מדיניות ההחמרה בעבירות כגון דא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ruller5"/>
        <w:spacing w:lineRule="auto" w:line="360"/>
        <w:ind w:start="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4079/21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20.6.21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6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ממתחם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שיקום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ונקבע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שהדגשתי פעם אחר פעם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הסיכון הכרוך בעבירות של החזקת נשק שלא כדין נובע מהנזק הפוטנציאלי אשר עלול להיגרם ממנו – אף אם הנשק נתפס בטרם נזק זה התממש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בפרט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קיים סיכון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שאנחנו נוכחים לדעת לא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הנשק עלול להגיע לידיים עברייניות וייעשה בו שימוש אשר יוביל בסופו של יום לגביית מחירים כבדים 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ruller5"/>
        <w:ind w:start="0" w:end="1282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3619/21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הלאל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26.5.21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10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ונאמר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3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5613/20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25.8.2020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hyperlink r:id="rId3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4065/18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איאסו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30.8.2018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במכלול הנסיבות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סבור כי 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3632/14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08.12.14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מאולתר</w:t>
      </w:r>
      <w:r>
        <w:rPr>
          <w:rtl w:val="true"/>
          <w:lang w:eastAsia="he-IL"/>
        </w:rPr>
        <w:t xml:space="preserve">. </w:t>
      </w:r>
      <w:r>
        <w:rPr>
          <w:u w:val="single"/>
          <w:rtl w:val="true"/>
          <w:lang w:eastAsia="he-IL"/>
        </w:rPr>
        <w:t>עוד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נקבע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כי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שקבע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בית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המשפט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המחוזי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אשר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נע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בין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12-36</w:t>
      </w:r>
      <w:r>
        <w:rPr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חודשי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מאסר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בפועל</w:t>
      </w:r>
      <w:r>
        <w:rPr>
          <w:u w:val="single"/>
          <w:rtl w:val="true"/>
          <w:lang w:eastAsia="he-IL"/>
        </w:rPr>
        <w:t xml:space="preserve">, </w:t>
      </w:r>
      <w:r>
        <w:rPr>
          <w:u w:val="single"/>
          <w:rtl w:val="true"/>
          <w:lang w:eastAsia="he-IL"/>
        </w:rPr>
        <w:t>הינו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הענישה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המקובל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כיום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בעבירות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</w:t>
      </w:r>
      <w:hyperlink r:id="rId3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4722/20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בזייג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09.08.20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/>
        <w:t>4005-07-21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17.01.22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14-38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50840-03-22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מוסמכות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tl w:val="true"/>
        </w:rPr>
        <w:t xml:space="preserve">.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22.11.20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tl w:val="true"/>
        </w:rPr>
        <w:t xml:space="preserve">.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קיפדו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ascii="Arial" w:hAnsi="Arial" w:cs="Arial"/>
          <w:rtl w:val="true"/>
        </w:rPr>
        <w:t>משנאמר 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 ובמדיניות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בהודאתו של הנאשם ובנסיבות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עריכת איזון בין רכיבי הענישה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לעתירת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לנכון למקם את עונשו של הנאשם מעט מעל תחתית המתחם ולכן אני מטיל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rtl w:val="true"/>
        </w:rPr>
        <w:t>וזאת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בהתאם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לרישומי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ס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בחיפה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-Bold">
    <w:charset w:val="b1" w:characterSet="windows-1255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35121-09-22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זיד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6913730" TargetMode="External"/><Relationship Id="rId13" Type="http://schemas.openxmlformats.org/officeDocument/2006/relationships/hyperlink" Target="http://www.nevo.co.il/case/829168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law/70301/40e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969313" TargetMode="External"/><Relationship Id="rId22" Type="http://schemas.openxmlformats.org/officeDocument/2006/relationships/hyperlink" Target="http://www.nevo.co.il/case/27309272" TargetMode="External"/><Relationship Id="rId23" Type="http://schemas.openxmlformats.org/officeDocument/2006/relationships/hyperlink" Target="http://www.nevo.co.il/safrut/bookgroup/41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case/13093744" TargetMode="External"/><Relationship Id="rId27" Type="http://schemas.openxmlformats.org/officeDocument/2006/relationships/hyperlink" Target="http://www.nevo.co.il/case/25824863" TargetMode="External"/><Relationship Id="rId28" Type="http://schemas.openxmlformats.org/officeDocument/2006/relationships/hyperlink" Target="http://www.nevo.co.il/case/27925239" TargetMode="External"/><Relationship Id="rId29" Type="http://schemas.openxmlformats.org/officeDocument/2006/relationships/hyperlink" Target="http://www.nevo.co.il/case/26442335" TargetMode="External"/><Relationship Id="rId30" Type="http://schemas.openxmlformats.org/officeDocument/2006/relationships/hyperlink" Target="http://www.nevo.co.il/case/26383419" TargetMode="External"/><Relationship Id="rId31" Type="http://schemas.openxmlformats.org/officeDocument/2006/relationships/hyperlink" Target="http://www.nevo.co.il/case/26931111" TargetMode="External"/><Relationship Id="rId32" Type="http://schemas.openxmlformats.org/officeDocument/2006/relationships/hyperlink" Target="http://www.nevo.co.il/case/27693610" TargetMode="External"/><Relationship Id="rId33" Type="http://schemas.openxmlformats.org/officeDocument/2006/relationships/hyperlink" Target="http://www.nevo.co.il/case/27648787" TargetMode="External"/><Relationship Id="rId34" Type="http://schemas.openxmlformats.org/officeDocument/2006/relationships/hyperlink" Target="http://www.nevo.co.il/case/26913995" TargetMode="External"/><Relationship Id="rId35" Type="http://schemas.openxmlformats.org/officeDocument/2006/relationships/hyperlink" Target="http://www.nevo.co.il/case/24263426" TargetMode="External"/><Relationship Id="rId36" Type="http://schemas.openxmlformats.org/officeDocument/2006/relationships/hyperlink" Target="http://www.nevo.co.il/case/16944929" TargetMode="External"/><Relationship Id="rId37" Type="http://schemas.openxmlformats.org/officeDocument/2006/relationships/hyperlink" Target="http://www.nevo.co.il/case/26833934" TargetMode="External"/><Relationship Id="rId38" Type="http://schemas.openxmlformats.org/officeDocument/2006/relationships/hyperlink" Target="http://www.nevo.co.il/case/28424228" TargetMode="External"/><Relationship Id="rId39" Type="http://schemas.openxmlformats.org/officeDocument/2006/relationships/hyperlink" Target="http://www.nevo.co.il/case/26888657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2023-11-12T10:07:00Z</dcterms:created>
  <dc:creator> </dc:creator>
  <dc:description/>
  <cp:keywords/>
  <dc:language>en-IL</dc:language>
  <cp:lastModifiedBy>h1</cp:lastModifiedBy>
  <dcterms:modified xsi:type="dcterms:W3CDTF">2023-11-12T10:07:00Z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זיד ג'רבאן</vt:lpwstr>
  </property>
  <property fmtid="{D5CDD505-2E9C-101B-9397-08002B2CF9AE}" pid="4" name="BOOKGROUPTMP1">
    <vt:lpwstr>412</vt:lpwstr>
  </property>
  <property fmtid="{D5CDD505-2E9C-101B-9397-08002B2CF9AE}" pid="5" name="CASESLISTTMP1">
    <vt:lpwstr>16913730;8291683;5969313;27309272;25824863:2;13093744;27925239;26442335;26383419;26931111;27693610;27648787;26913995;24263426;16944929;26833934;28424228;26888657</vt:lpwstr>
  </property>
  <property fmtid="{D5CDD505-2E9C-101B-9397-08002B2CF9AE}" pid="6" name="CITY">
    <vt:lpwstr>חד'</vt:lpwstr>
  </property>
  <property fmtid="{D5CDD505-2E9C-101B-9397-08002B2CF9AE}" pid="7" name="DATE">
    <vt:lpwstr>20230314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70301/144.a;040i;40ja;040d;040e</vt:lpwstr>
  </property>
  <property fmtid="{D5CDD505-2E9C-101B-9397-08002B2CF9AE}" pid="11" name="LAWYER">
    <vt:lpwstr>מור בן אבו;מוחמד מואסי </vt:lpwstr>
  </property>
  <property fmtid="{D5CDD505-2E9C-101B-9397-08002B2CF9AE}" pid="12" name="NEWPARTA">
    <vt:lpwstr>35121</vt:lpwstr>
  </property>
  <property fmtid="{D5CDD505-2E9C-101B-9397-08002B2CF9AE}" pid="13" name="NEWPARTB">
    <vt:lpwstr>09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380020230314</vt:lpwstr>
  </property>
  <property fmtid="{D5CDD505-2E9C-101B-9397-08002B2CF9AE}" pid="19" name="TYPE_N_DATE">
    <vt:lpwstr>38020230314</vt:lpwstr>
  </property>
  <property fmtid="{D5CDD505-2E9C-101B-9397-08002B2CF9AE}" pid="20" name="WORDNUMPAGES">
    <vt:lpwstr>11</vt:lpwstr>
  </property>
</Properties>
</file>