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35227-05-17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טבצ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ינקוב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דוד טבצ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ינקוב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bookmarkStart w:id="7" w:name="ABSTRACT_START"/>
      <w:bookmarkEnd w:id="7"/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שבתוכו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bookmarkStart w:id="8" w:name="ABSTRACT_END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ממצאי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עיוורון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גמלאית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שהתמודדה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½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בחלופת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רחוב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26.6.13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תקיפה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תקיפה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סתם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איומים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הטרדת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מזוין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פציעה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מזוין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והטרדת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ופורמלית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העיתונים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להסגירו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ומתקשה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להשלכותיה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מיטיבים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שסנקציות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הפחיתו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באפשרותו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להמליץ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טיפולית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למעשיו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בדחפים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לסעיפים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32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cs="Calibri" w:ascii="Calibri" w:hAnsi="Calibri"/>
            <w:color w:val="0000FF"/>
            <w:u w:val="single"/>
          </w:rPr>
          <w:t>39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מעצר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וחיפוש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1969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סנגורו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מלהתממש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בלוויית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ועליו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היל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אופנועו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לזנוח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לשאלתי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  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נוער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קריטית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לפרק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".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6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מהתגלגלותו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418"/>
        <w:jc w:val="both"/>
        <w:rPr/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הניבטת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מובן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2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lineRule="auto" w:line="276"/>
        <w:ind w:end="993"/>
        <w:jc w:val="both"/>
        <w:rPr/>
      </w:pP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</w:p>
    <w:p>
      <w:pPr>
        <w:pStyle w:val="Normal"/>
        <w:spacing w:lineRule="auto" w:line="276"/>
        <w:ind w:end="993"/>
        <w:jc w:val="both"/>
        <w:rPr/>
      </w:pPr>
      <w:r>
        <w:rPr>
          <w:rtl w:val="true"/>
        </w:rPr>
      </w:r>
    </w:p>
    <w:p>
      <w:pPr>
        <w:pStyle w:val="Normal"/>
        <w:spacing w:lineRule="auto" w:line="276" w:before="0" w:after="160"/>
        <w:ind w:start="1513" w:end="993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בכגון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בסופו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צריכה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מאחורי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ובריח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בראש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וראשונה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להרתעת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היחיד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והרבים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אורך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כרוך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הספציפיות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והמעשה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נורמטיבי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המערער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שהות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ובהיותו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במעצר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מקצת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הטעם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הישראליות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מורשות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להתגלגל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טוב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וכדברי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האומר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מחזה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שבמערכתו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הראשונה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נראה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אקדח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עשוי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במערכה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האחרונה</w:t>
      </w:r>
      <w:r>
        <w:rPr>
          <w:rFonts w:cs="Miriam" w:ascii="Calibri" w:hAnsi="Calibri"/>
          <w:rtl w:val="true"/>
        </w:rPr>
        <w:t>;..". 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30.12.09</w:t>
      </w:r>
      <w:r>
        <w:rPr>
          <w:rFonts w:cs="Calibri" w:ascii="Calibri" w:hAnsi="Calibri"/>
          <w:rtl w:val="true"/>
        </w:rPr>
        <w:t>)</w:t>
      </w:r>
      <w:r>
        <w:rPr>
          <w:rFonts w:cs="Miriam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"</w:t>
      </w:r>
      <w:r>
        <w:rPr>
          <w:rFonts w:ascii="Calibri" w:hAnsi="Calibri" w:cs="Miriam"/>
          <w:rtl w:val="true"/>
        </w:rPr>
        <w:t>כבכל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ושומה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בבואו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cs="Miriam" w:ascii="Calibri" w:hAnsi="Calibri"/>
          <w:rtl w:val="true"/>
        </w:rPr>
        <w:t>"(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9702/16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אלוליאיה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13.9.17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cs="Miriam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והסתייעות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מכדורים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נצור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הסתייעות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>'.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תיק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חאסרמה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: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17.11.05</w:t>
      </w:r>
      <w:r>
        <w:rPr>
          <w:rFonts w:cs="Calibri" w:ascii="Calibri" w:hAnsi="Calibri"/>
          <w:rtl w:val="true"/>
        </w:rPr>
        <w:t xml:space="preserve">);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37083-11-14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עיסאוי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13.12.15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28.6.10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היחיד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משכלי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מניעיו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הובררו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מלבצעם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וזקוקה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במשפטו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נמנעתי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אופנועו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אופנועו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90-766-30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סעיפיו</w:t>
      </w:r>
      <w:r>
        <w:rPr>
          <w:rFonts w:ascii="Calibri" w:hAnsi="Calibri" w:cs="Calibri"/>
          <w:rtl w:val="true"/>
        </w:rPr>
        <w:t xml:space="preserve"> </w:t>
      </w:r>
      <w:hyperlink r:id="rId54">
        <w:r>
          <w:rPr>
            <w:rStyle w:val="Hyperlink"/>
            <w:rFonts w:cs="Calibri" w:ascii="Calibri" w:hAnsi="Calibri"/>
            <w:color w:val="0000FF"/>
            <w:u w:val="single"/>
          </w:rPr>
          <w:t>32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cs="Calibri" w:ascii="Calibri" w:hAnsi="Calibri"/>
            <w:color w:val="0000FF"/>
            <w:u w:val="single"/>
          </w:rPr>
          <w:t>39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מעצר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וחיפוש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1969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הימנעות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המבוקש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להמלצת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להפניית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לטיפול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והשליטה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בדחפים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מאסרו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35227-05-17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טבצ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ינקוב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74918" TargetMode="External"/><Relationship Id="rId12" Type="http://schemas.openxmlformats.org/officeDocument/2006/relationships/hyperlink" Target="http://www.nevo.co.il/law/74918/32" TargetMode="External"/><Relationship Id="rId13" Type="http://schemas.openxmlformats.org/officeDocument/2006/relationships/hyperlink" Target="http://www.nevo.co.il/law/74918/39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43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4918/32;39" TargetMode="External"/><Relationship Id="rId19" Type="http://schemas.openxmlformats.org/officeDocument/2006/relationships/hyperlink" Target="http://www.nevo.co.il/law/74918" TargetMode="External"/><Relationship Id="rId20" Type="http://schemas.openxmlformats.org/officeDocument/2006/relationships/hyperlink" Target="http://www.nevo.co.il/law/70301/40d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fCa(1)S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13093744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6000182" TargetMode="External"/><Relationship Id="rId31" Type="http://schemas.openxmlformats.org/officeDocument/2006/relationships/hyperlink" Target="http://www.nevo.co.il/case/21771409" TargetMode="External"/><Relationship Id="rId32" Type="http://schemas.openxmlformats.org/officeDocument/2006/relationships/hyperlink" Target="http://www.nevo.co.il/case/6949290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5227/43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case/5950172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878682" TargetMode="External"/><Relationship Id="rId41" Type="http://schemas.openxmlformats.org/officeDocument/2006/relationships/hyperlink" Target="http://www.nevo.co.il/case/21474168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0009157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case/5859902" TargetMode="External"/><Relationship Id="rId49" Type="http://schemas.openxmlformats.org/officeDocument/2006/relationships/hyperlink" Target="http://www.nevo.co.il/case/18164843" TargetMode="External"/><Relationship Id="rId50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j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4918/32;39" TargetMode="External"/><Relationship Id="rId55" Type="http://schemas.openxmlformats.org/officeDocument/2006/relationships/hyperlink" Target="http://www.nevo.co.il/law/74918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2018-05-08T13:30:00Z</dcterms:created>
  <dc:creator> </dc:creator>
  <dc:description/>
  <cp:keywords/>
  <dc:language>en-IL</dc:language>
  <cp:lastModifiedBy>run</cp:lastModifiedBy>
  <dcterms:modified xsi:type="dcterms:W3CDTF">2018-05-08T13:30:00Z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טבצ'ינקוב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7791493:2;13093744;6000182;21771409;6949290;5950172;5878682;21474168;20009157;5859902;18164843</vt:lpwstr>
  </property>
  <property fmtid="{D5CDD505-2E9C-101B-9397-08002B2CF9AE}" pid="9" name="CITY">
    <vt:lpwstr>חי'</vt:lpwstr>
  </property>
  <property fmtid="{D5CDD505-2E9C-101B-9397-08002B2CF9AE}" pid="10" name="DATE">
    <vt:lpwstr>20171001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70301/144.b:5;040d.a;fCa(1)S;040b;040c.a;144.a:2;040i;40ja</vt:lpwstr>
  </property>
  <property fmtid="{D5CDD505-2E9C-101B-9397-08002B2CF9AE}" pid="15" name="LAWLISTTMP2">
    <vt:lpwstr>74918/032:2;039:2</vt:lpwstr>
  </property>
  <property fmtid="{D5CDD505-2E9C-101B-9397-08002B2CF9AE}" pid="16" name="LAWLISTTMP3">
    <vt:lpwstr>5227/043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35227</vt:lpwstr>
  </property>
  <property fmtid="{D5CDD505-2E9C-101B-9397-08002B2CF9AE}" pid="24" name="NEWPARTB">
    <vt:lpwstr>05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390020171001</vt:lpwstr>
  </property>
  <property fmtid="{D5CDD505-2E9C-101B-9397-08002B2CF9AE}" pid="36" name="TYPE_N_DATE">
    <vt:lpwstr>39020171001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