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235"/>
        <w:gridCol w:w="1902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35361-05-23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6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קריאף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6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עומר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עתאמנה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 על פי הודאתו בעבירות המיוחסות לו בכתב האישום 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נשק שלא כדין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חלק של נשק או 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כעולה מעובדות כתב האישום בתאריך </w:t>
      </w:r>
      <w:r>
        <w:rPr>
          <w:rFonts w:cs="Arial" w:ascii="Arial" w:hAnsi="Arial"/>
        </w:rPr>
        <w:t>5/5/23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בוצע חיפוש בביתו של הנאשם באום אל פאחם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וזאת מכוח צו בית משפט השלום בחדרה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בנסיבות אלו נמצאה מעל ארון בבית שקית ובה אקדח הזנקה מסוג </w:t>
      </w:r>
      <w:r>
        <w:rPr>
          <w:rFonts w:cs="Arial" w:ascii="Arial" w:hAnsi="Arial"/>
        </w:rPr>
        <w:t>KUZEY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הוסב לירי תחמושת קליעית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האקדח נמצא כשהוא טעון במחסנית ובה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בעלי קליע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מילימטר המתאימים לאקדח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בנשק אשר מסוגל לירות כדור כשבכוחו להמית אדם וכן החזיק בתחמושת מתאימה לנשק שבכוחה להמית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עצור מתאריך </w:t>
      </w:r>
      <w:r>
        <w:rPr>
          <w:rFonts w:cs="Arial" w:ascii="Arial" w:hAnsi="Arial"/>
        </w:rPr>
        <w:t>05.05.23</w:t>
      </w:r>
      <w:r>
        <w:rPr>
          <w:rFonts w:cs="Arial" w:ascii="Arial" w:hAnsi="Arial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הצדדים לעונש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עמד על חומרת מעשיו של הנאשם ועל הערכים החברתיים שנפגעו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ובטחונו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הדגיש שמידת הפגיעה בערכים אלה איננה מסתכמת רק בנזק שאירע בפועל אלא גם בפוטנציאל של פגיעה בחפים מפשע וערעור בטחון הציבור והסדר החברתי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הנובע מאותן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 שמיגור הנגע של החזקת נשק בלתי חוקי והשימוש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הפך למטרת על בקרב גורמי אכיפת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ובתי המשפט ראו בעבירות הנשק כעבירות שיש להחמיר עם מבצעיהם על ידי הטלת מאסרים ממושכים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בקביעת מתחם העונש ההולם את 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על מדיניות הענישה הנהוגה בעבירות דומות והפנה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סבר שמתחם העונש ההולם את מעשיו של הנאשם נע 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וביקש בהתחשב בנסיבות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בעיקר עברו הפלילי של הנאשם הכולל גם מאסר ממושך בשל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לגזור על הנאשם מאסר בפועל שלא יפחת מ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וכן מאסר על תנאי משמעותי וקנס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firstLine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באשר לנסיבות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 כוח הנאשם ציין שהנשק נבדק ולא נמצא שנעשה בו שימוש ושלא מדובר בנשק התקפי ולכן מידת הפגיעה בערכים המוגנים הינה נמוכה עד בינונית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 xml:space="preserve">הסנגור הפנה לפסקי דין מטעמו תוך שסבר שמתחם העונש ההולם את מעשיו של הנאשם נע בין </w:t>
      </w:r>
      <w:r>
        <w:rPr>
          <w:rStyle w:val="normal-h"/>
          <w:rFonts w:cs="David" w:ascii="David" w:hAnsi="David"/>
          <w:sz w:val="24"/>
          <w:szCs w:val="24"/>
        </w:rPr>
        <w:t>9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 xml:space="preserve">שניתן לרצות בעבודות שירות ועד </w:t>
      </w:r>
      <w:r>
        <w:rPr>
          <w:rStyle w:val="normal-h"/>
          <w:rFonts w:cs="David" w:ascii="David" w:hAnsi="David"/>
          <w:sz w:val="24"/>
          <w:szCs w:val="24"/>
        </w:rPr>
        <w:t>30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Style w:val="normal-h"/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/>
      </w:pP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>בקביעת עונשו של הנאשם בתוך המתחם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 xml:space="preserve">עמד הסנגור על הנסיבות שאינן קשורות בביצוע העבירה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להתחשב בהודאת הנאשם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בלקיחת האחריות והחרטה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של הנאשם אב לארבעה ילדים וציין שעברו הפלילי של הנאשם איננו בגין עבירות נשק אלא בגין עבירות אלימות במשפחה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הזכיר הסנגור שהנאשם נתון במעצר מאחורי סורג ובריח תקופה ארוכה כאשר תקופת המעצר קשה היא מתקופת מאסר בשל תנאיה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Style w:val="normal-h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normal-h"/>
          <w:rFonts w:ascii="David" w:hAnsi="David" w:cs="David"/>
          <w:sz w:val="24"/>
          <w:sz w:val="24"/>
          <w:szCs w:val="24"/>
          <w:rtl w:val="true"/>
        </w:rPr>
        <w:t>ביקש בא כוח הנאשם למקם את הנאשם בתחתית המתחם אותו ציין</w:t>
      </w:r>
      <w:r>
        <w:rPr>
          <w:rStyle w:val="normal-h"/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8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ascii="Arial" w:hAnsi="Arial" w:cs="Arial"/>
          <w:rtl w:val="true"/>
        </w:rPr>
        <w:t xml:space="preserve"> הואיל ונשק המוחזק שלא כדין עלול להביא לפגיעה בשלטון החוק ובנושאי שלטון החוק המבצעים את תפקידם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....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.....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לאסונות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מבצרם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השעשועים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472</w:t>
      </w:r>
      <w:r>
        <w:rPr>
          <w:b/>
          <w:bCs/>
          <w:rtl w:val="true"/>
        </w:rPr>
        <w:t>;"</w:t>
      </w:r>
      <w:r>
        <w:rPr>
          <w:rtl w:val="true"/>
        </w:rPr>
        <w:t xml:space="preserve">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14.04.22</w:t>
      </w:r>
      <w:r>
        <w:rPr>
          <w:rtl w:val="true"/>
        </w:rPr>
        <w:t>)).</w:t>
      </w:r>
    </w:p>
    <w:p>
      <w:pPr>
        <w:pStyle w:val="Normal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14.02.21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>))...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567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14.09.22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בטיפולנו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ובמבצעיהן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לתמיכתו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פשוטה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>." (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rtl w:val="true"/>
        </w:rPr>
        <w:t>"(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14.9.22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6.11.22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",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13.02.22</w:t>
      </w:r>
      <w:r>
        <w:rPr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ושגרתיות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לפעמים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ושאיפתה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ושונים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שמתמקדת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ובתוצאה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05.11.19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[...]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23517-02-20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אלכילאני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28.07.20</w:t>
      </w:r>
      <w:r>
        <w:rPr>
          <w:rtl w:val="true"/>
        </w:rPr>
        <w:t>): "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: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ind w:start="1642" w:end="1282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הסתבכו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לצערנו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pacing w:val="10"/>
        </w:rPr>
      </w:pPr>
      <w:r>
        <w:rPr>
          <w:b/>
          <w:bCs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20.6.21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ind w:end="1282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לשכיחותם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להמעיט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5613/20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25.8.2020</w:t>
      </w:r>
      <w:r>
        <w:rPr>
          <w:b/>
          <w:bCs/>
          <w:rtl w:val="true"/>
        </w:rPr>
        <w:t xml:space="preserve">);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4065/18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איאסו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30.8.2018</w:t>
      </w:r>
      <w:r>
        <w:rPr>
          <w:b/>
          <w:bCs/>
          <w:rtl w:val="true"/>
        </w:rPr>
        <w:t xml:space="preserve">)).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המאולתרים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12888-03-22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07.11.22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שלדאבון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נפיצותן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ולטעמי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התקפי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דווקא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המלמדת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כוונה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>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</w:rPr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eastAsia="David" w:cs="Miriam"/>
          <w:b/>
          <w:bCs/>
          <w:sz w:val="22"/>
          <w:szCs w:val="22"/>
        </w:rPr>
      </w:pPr>
      <w:r>
        <w:rPr>
          <w:rFonts w:eastAsia="David" w:cs="Miriam" w:ascii="Miriam" w:hAnsi="Miriam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22.11.20</w:t>
      </w:r>
      <w:r>
        <w:rPr>
          <w:rtl w:val="true"/>
        </w:rPr>
        <w:t xml:space="preserve">))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>משנאמר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בערך החברתי ובמדיניות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בהודאתו של הנאשם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איזון בין רכיבי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ימים מרגע מתן גזר הדין ועד ליום </w:t>
      </w:r>
      <w:r>
        <w:rPr>
          <w:rFonts w:cs="David" w:ascii="David" w:hAnsi="David"/>
        </w:rPr>
        <w:t>10/3/24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>בכרטיס אשראי</w:t>
      </w:r>
      <w:r>
        <w:rPr>
          <w:rFonts w:ascii="David" w:hAnsi="David" w:cs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1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Arial" w:hAnsi="Arial" w:cs="Arial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 w:cs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 w:cs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 w:cs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במזומן בכל סניף של בנק הדואר</w:t>
      </w:r>
      <w:r>
        <w:rPr>
          <w:rFonts w:ascii="David" w:hAnsi="David" w:cs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Calibri" w:hAnsi="Calibri" w:cs="Arial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35361-05-23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/40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safrut/bookgroup/41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case/28883087" TargetMode="External"/><Relationship Id="rId28" Type="http://schemas.openxmlformats.org/officeDocument/2006/relationships/hyperlink" Target="http://www.nevo.co.il/case/28697218" TargetMode="External"/><Relationship Id="rId29" Type="http://schemas.openxmlformats.org/officeDocument/2006/relationships/hyperlink" Target="http://www.nevo.co.il/case/27925239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6442335" TargetMode="External"/><Relationship Id="rId32" Type="http://schemas.openxmlformats.org/officeDocument/2006/relationships/hyperlink" Target="http://www.nevo.co.il/case/26383419" TargetMode="External"/><Relationship Id="rId33" Type="http://schemas.openxmlformats.org/officeDocument/2006/relationships/hyperlink" Target="http://www.nevo.co.il/case/26931111" TargetMode="External"/><Relationship Id="rId34" Type="http://schemas.openxmlformats.org/officeDocument/2006/relationships/hyperlink" Target="http://www.nevo.co.il/case/27693610" TargetMode="External"/><Relationship Id="rId35" Type="http://schemas.openxmlformats.org/officeDocument/2006/relationships/hyperlink" Target="http://www.nevo.co.il/case/27648787" TargetMode="External"/><Relationship Id="rId36" Type="http://schemas.openxmlformats.org/officeDocument/2006/relationships/hyperlink" Target="http://www.nevo.co.il/case/26913995" TargetMode="External"/><Relationship Id="rId37" Type="http://schemas.openxmlformats.org/officeDocument/2006/relationships/hyperlink" Target="http://www.nevo.co.il/case/24263426" TargetMode="External"/><Relationship Id="rId38" Type="http://schemas.openxmlformats.org/officeDocument/2006/relationships/hyperlink" Target="http://www.nevo.co.il/case/28378067" TargetMode="External"/><Relationship Id="rId39" Type="http://schemas.openxmlformats.org/officeDocument/2006/relationships/hyperlink" Target="http://www.nevo.co.il/case/26888657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eca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2024-07-02T08:52:00Z</dcterms:created>
  <dc:creator> </dc:creator>
  <dc:description/>
  <cp:keywords/>
  <dc:language>en-IL</dc:language>
  <cp:lastModifiedBy>h1</cp:lastModifiedBy>
  <dcterms:modified xsi:type="dcterms:W3CDTF">2024-07-02T08:52:00Z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מחאג'נה</vt:lpwstr>
  </property>
  <property fmtid="{D5CDD505-2E9C-101B-9397-08002B2CF9AE}" pid="4" name="BOOKGROUPTMP1">
    <vt:lpwstr>412</vt:lpwstr>
  </property>
  <property fmtid="{D5CDD505-2E9C-101B-9397-08002B2CF9AE}" pid="5" name="CASESLISTTMP1">
    <vt:lpwstr>28513828;27309272;25824863:2;28883087:2;28697218;27925239;26442335;26383419;26931111;27693610;27648787;26913995;24263426;28378067;26888657</vt:lpwstr>
  </property>
  <property fmtid="{D5CDD505-2E9C-101B-9397-08002B2CF9AE}" pid="6" name="CITY">
    <vt:lpwstr>חד'</vt:lpwstr>
  </property>
  <property fmtid="{D5CDD505-2E9C-101B-9397-08002B2CF9AE}" pid="7" name="DATE">
    <vt:lpwstr>20231114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70301/144.a:2;040i;40ja;040d;040e</vt:lpwstr>
  </property>
  <property fmtid="{D5CDD505-2E9C-101B-9397-08002B2CF9AE}" pid="11" name="LAWYER">
    <vt:lpwstr>מעיין קריאף בנימין;עלא עתאמנה</vt:lpwstr>
  </property>
  <property fmtid="{D5CDD505-2E9C-101B-9397-08002B2CF9AE}" pid="12" name="NEWPARTA">
    <vt:lpwstr>35361</vt:lpwstr>
  </property>
  <property fmtid="{D5CDD505-2E9C-101B-9397-08002B2CF9AE}" pid="13" name="NEWPARTB">
    <vt:lpwstr>05</vt:lpwstr>
  </property>
  <property fmtid="{D5CDD505-2E9C-101B-9397-08002B2CF9AE}" pid="14" name="NEWPARTC">
    <vt:lpwstr>23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380020231114</vt:lpwstr>
  </property>
  <property fmtid="{D5CDD505-2E9C-101B-9397-08002B2CF9AE}" pid="19" name="TYPE_N_DATE">
    <vt:lpwstr>38020231114</vt:lpwstr>
  </property>
  <property fmtid="{D5CDD505-2E9C-101B-9397-08002B2CF9AE}" pid="20" name="WORDNUMPAGES">
    <vt:lpwstr>10</vt:lpwstr>
  </property>
</Properties>
</file>