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80"/>
        <w:gridCol w:w="3658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3537-01-23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אברמוב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קרזבום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אברמוב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),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פס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Cs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נהוראי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מאיר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אוחנה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),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גזר דין   נאשם 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</w:rPr>
              <w:t>2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הודה והורשע במסגרת הסדר טיעון בכתב אישום מתוקן בעבירות של סיוע לנשיאה והובלה של נשק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6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 xml:space="preserve">סיפא </w:t>
      </w:r>
      <w:r>
        <w:rPr>
          <w:rFonts w:eastAsia="David" w:cs="David" w:ascii="David" w:hAnsi="David"/>
          <w:rtl w:val="true"/>
        </w:rPr>
        <w:t>+</w:t>
      </w:r>
      <w:hyperlink r:id="rId17">
        <w:r>
          <w:rPr>
            <w:rStyle w:val="Hyperlink"/>
            <w:rFonts w:eastAsia="David" w:cs="David" w:ascii="David" w:hAnsi="David"/>
          </w:rPr>
          <w:t>31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שימוש ברכב ללא רשות 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 xml:space="preserve">עבירה לפי סעיף </w:t>
      </w:r>
      <w:hyperlink r:id="rId19">
        <w:r>
          <w:rPr>
            <w:rStyle w:val="Hyperlink"/>
            <w:rFonts w:eastAsia="David" w:cs="David" w:ascii="David" w:hAnsi="David"/>
          </w:rPr>
          <w:t>413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ג</w:t>
        </w:r>
      </w:hyperlink>
      <w:r>
        <w:rPr>
          <w:rFonts w:ascii="David" w:hAnsi="David" w:eastAsia="David"/>
          <w:rtl w:val="true"/>
        </w:rPr>
        <w:t xml:space="preserve"> לחוק העונשין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הפרעה לשוטר במילוי תפקידו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275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נהיגה בזמן פסילה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21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67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2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פקודת התעבורה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נהיגה ללא רישיון רכב תקף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2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לפקודת התעבורה ונהיגה ללא פוליסת ביטוח בת תוקף – עבירה לפי סעיף </w:t>
      </w:r>
      <w:hyperlink r:id="rId24">
        <w:r>
          <w:rPr>
            <w:rStyle w:val="Hyperlink"/>
            <w:rFonts w:eastAsia="David" w:cs="David" w:ascii="David" w:hAnsi="David"/>
          </w:rPr>
          <w:t>2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 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לפקודת רכב מנועי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13.12.22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נגנב רכב מסוג מזדה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לוחית רישוי </w:t>
      </w:r>
      <w:r>
        <w:rPr>
          <w:rFonts w:cs="David" w:ascii="David" w:hAnsi="David"/>
        </w:rPr>
        <w:t>33374801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שבבעלות של  ראל עייש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רישיון הרכב אינו בתוקף החל מחודש </w:t>
      </w:r>
      <w:r>
        <w:rPr>
          <w:rFonts w:cs="David" w:ascii="David" w:hAnsi="David"/>
        </w:rPr>
        <w:t>0</w:t>
      </w:r>
      <w:r>
        <w:rPr>
          <w:rFonts w:cs="David" w:ascii="David" w:hAnsi="David"/>
        </w:rPr>
        <w:t>1.2022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20.12.22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13:42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 הנאשמים ברכב ברחוב הרצל בטירת הכרמל כאשר לוחית הרישוי של הרכב מזויפת ותואמת למספר לוחית רישוי של רכב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הנסיעה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נהג ברכב כשהוא פסול לנהיגה מכוח החלטת קצין משטרה שניתנה בפניו החל מיום </w:t>
      </w:r>
      <w:r>
        <w:rPr>
          <w:rFonts w:cs="David" w:ascii="David" w:hAnsi="David"/>
        </w:rPr>
        <w:t>24.11.22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למשך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ומבלי שהייתה לו תעודת ביטוח בתוקף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ישב לידו במושב הנוסע ונשא והוביל  בתוך שקית שקופה לבנה  נשק מסוג אקדח ברטה מודל </w:t>
      </w:r>
      <w:r>
        <w:rPr>
          <w:rFonts w:cs="David" w:ascii="David" w:hAnsi="David"/>
        </w:rPr>
        <w:t>F</w:t>
      </w:r>
      <w:r>
        <w:rPr>
          <w:rFonts w:cs="David" w:ascii="David" w:hAnsi="David"/>
        </w:rPr>
        <w:t>84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קצר שסוגל לירות כדור ובכוחו להמית אדם ובתוכו מחסנית המתאימה לאקדח שהכילה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המהווים אביזר ותחמושת לנשק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rtl w:val="true"/>
        </w:rPr>
        <w:t>המחסנית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rtl w:val="true"/>
        </w:rPr>
        <w:t>התחמושת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ידע על כך וסייע והקל 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לשאת ולהוביל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עשו הנאשמים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בזמן הנסיעה ברכב היו ברשות הנאשמים כפפות חד פעמיות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שוטרים שהיו בניידת משטרתית הבחינו ברכב וכרזו לנאשמים מספר פעמים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שהבחין בניידת לא נענה לבקשת השוטרים לעצור והמשיך בנסיעתו לרחוב הלח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ובהמשך לרחוב יצחק שמיר כשהשוטרים נוסעים אחריהם בניידת וכורזים להם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כל זאת עשה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 להפריע לשוטרים או להכשילם במילוי תפקידם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עצר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הרכב ברחוב יצחק שמיר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בטירת הכרמל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בוצע חיפוש בתוך הרכב ונתפסו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והתחמושת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b/>
          <w:bCs/>
          <w:sz w:val="4"/>
          <w:szCs w:val="4"/>
          <w:u w:val="single"/>
        </w:rPr>
      </w:pPr>
      <w:r>
        <w:rPr>
          <w:rFonts w:eastAsia="Calibri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  <w:u w:val="single"/>
        </w:rPr>
      </w:pPr>
      <w:r>
        <w:rPr>
          <w:rFonts w:eastAsia="Calibri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 והרכוש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להוקיעה מהשורש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/>
          <w:rtl w:val="true"/>
        </w:rPr>
        <w:t xml:space="preserve">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המלמד על עמדתו של המחוקק ועל הצורך להחמיר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</w:t>
      </w:r>
      <w:r>
        <w:rPr>
          <w:rFonts w:ascii="David" w:hAnsi="David"/>
          <w:rtl w:val="true"/>
        </w:rPr>
        <w:t xml:space="preserve"> התופעה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כי מדובר בנאשם בגיר שבחר בחירה מודעת לבצע את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חלקו בביצוען היה מלא ולמעשה ללא תרומתו לא היה יכול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להשלים את העבירה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הבין היטב את מעשיו </w:t>
      </w:r>
      <w:r>
        <w:rPr>
          <w:rFonts w:ascii="David" w:hAnsi="David" w:eastAsia="Calibri"/>
          <w:rtl w:val="true"/>
        </w:rPr>
        <w:t>ואת השלכותיהם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אינו סובל מלקויות כלשהן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לא מתקיימת בעניינו קרבה לסייג לאחריות הפלילית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במצוקה נפשית ולא קדמה למעשיו התגרות כזו או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הדגישה כי מדובר באקדח מסוג ברטה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טעון במחסנית המכילה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המצביע על פוטנציאל הנזק הרב הצפוי להיגרם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אם לא נעשה שימוש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ציינה כי אמנם חלקו של הנאשם מצומצם יותר בכך שסייע לביצוע העבירות בנשק על ידי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אך הצביעה על כך שנהג ברכב ללא רשות בעליו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פוליסת ביטוח ורישיון רכב תקפים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ובהתאם פוטנציאל הנזק הרב למשתמשי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ציינה כי הסיבה לביצוע העבירות אינה ידועה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אם מדובר בשימוש פרטי או  במטרה להעביר את הנשק לגורמים אחרים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אין בכך כדי להוות נסיבה לקולה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לנסיבות שאינן קשורות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להודאתו המידית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לחיסכון בזמן שיפוטי יקר והעדר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הפנתה גם לאמור בתסקיר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עולה כי הנאשם לקח אחריות פורמאלית על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נמנע מהמלצה טיפולית והומלץ על ענישה מוחשית בעלת גבולות ברורים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לפסיקה רלוונטית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ובשים לב למתחם אליו עתרה המאשימה </w:t>
      </w:r>
      <w:r>
        <w:rPr>
          <w:rFonts w:ascii="David" w:hAnsi="David"/>
          <w:rtl w:val="true"/>
        </w:rPr>
        <w:t>ביחס לנאשם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טענה ל</w:t>
      </w:r>
      <w:r>
        <w:rPr>
          <w:rFonts w:ascii="David" w:hAnsi="David"/>
          <w:rtl w:val="true"/>
        </w:rPr>
        <w:t xml:space="preserve">מתחם עונש הולם שנע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למקם את עונש המאסר בפועל ברף האמצעי של המתחם וכן להטיל מאסר על תנאי לתקופה ארוכה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על תנאי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ראיות מטעם הנאשם </w:t>
      </w:r>
      <w:r>
        <w:rPr>
          <w:rFonts w:eastAsia="David" w:cs="David" w:ascii="David" w:hAnsi="David"/>
          <w:b/>
          <w:bCs/>
          <w:u w:val="single"/>
        </w:rPr>
        <w:t>2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הוגשה חוות דעת פסיכולוגית של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הוגשו מסמכים רפואיים הנוגעים לאחיו של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עיקר טיעוני הנאשם </w:t>
      </w:r>
      <w:r>
        <w:rPr>
          <w:rFonts w:eastAsia="David" w:cs="David" w:ascii="David" w:hAnsi="David"/>
          <w:b/>
          <w:bCs/>
          <w:u w:val="single"/>
        </w:rPr>
        <w:t>2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לתיקון המהותי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העובדה כי מדובר בנאשם שגדל במשפחה נורמטיבית וניהל אורח חיים נורמטיבי עובר למעצרו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את הפגיעה הקשה במסלול חייו בעקבות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את הפגיעה הקשה בבני משפחתו ובעיקר בבריאותו הנפשית של אחיו הצעיר שקרס נפשית בעקבות מעצרו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לעובדה כי מדובר בנאשם שנכלל בקטגוריה של קטין בגיר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אשר לא היה הגורם המרכזי בביצוע העבירות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אלא קיבל הנחיות במטרה לסייע לאחר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ציין כי המעשים לא כללו תכנון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לא היה שותף לתכנון עבירת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לסוג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מדובר באקדח לא אוטומטי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להבדיל מתת מקלע או אמצעי חבלה אחרים הנחשבים כנשקים מסוכנים 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הדגיש כי הנאשם העיקרי בתיק 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קיבל על עצמו את מלוא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ואף הסביר כי הנאשם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סייע לו ולא היה בקיא בשום פרט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עבירות התעבורה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הנאשם לא נהג בפראות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ובנהיגתו לא סיכן את משתמשי הדרך האחרים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להמלצות והערכות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ההמלצה הסופית של שירות המבחן לפיה הוא נמנע מהמלצה טיפולית בעניינו של הנאשם אינה מובנת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ואינה עולה בקנה אחד עם האמור בגופו של התסקיר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שירות המבחן  הצביע על קיומם של כוחות חיוביים אצל הנאשם שיכולים  לסייע לו בשינוי מצב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הנוכחי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 וקביעת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לקבוע כי העבירות בהן הורשע הנאשם מהוות מסכת אירועים אחת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ובהתאם לקבוע מתחם ענישה אחד לכלל העבירות שנע בין מאסר בפועל למשך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שיכול וירוצה בעבודות שירות 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בהקשר זה הפנה להנחיית פרקליט המדינה בעניין מדיניות הענישה בעבירות נשק ומטעני 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מתחם המוצא בגין עבירות נשיאת אקדח הוא בין </w:t>
      </w:r>
      <w:r>
        <w:rPr>
          <w:rFonts w:eastAsia="Calibri" w:cs="David" w:ascii="David" w:hAnsi="David"/>
        </w:rPr>
        <w:t>1.5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ובעבירת הסיוע המתחם 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מתחם הדומה יותר למתחם אותו מציעה ההגנה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בכל הקשור לעבירות התעבורה טען למתחם עונש הולם של פסילה מותנית ועד 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פסילה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ביקש למקם את עונשו של הנאשם בתחתית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הסתפקות בתקופה מעצרו עד כה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בצד רכיבי ענישה נוספים לרבות מאסר מותנה ארוך ומרתיע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מטעם הנאשם העיד מר ליאור דוידוב חייל המשמש כמפקד טנק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סיפר על כך שהוא והנאשם חברים טובים וציין כי הנאשם הינו חבר טוב ונאמן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והעריך כי העבירות בוצעו על ידי הנאשם כתוצאה מביטחונו העצמי הנמוך שנוצל על ידי גורמים שוליים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 ערן אוחנה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סיפר על אורח החיים הנורמטיבי שהוא </w:t>
      </w:r>
      <w:r>
        <w:rPr>
          <w:rFonts w:ascii="David" w:hAnsi="David" w:eastAsia="Calibri"/>
          <w:rtl w:val="true"/>
        </w:rPr>
        <w:t>ומשפחתו מנהלים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עובדים לפרנסתם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בנותיהם אקדמאיות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 נעדר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מבלי להמעיט מחומרת העבירות טען כי אלו בוצעו על רקע בעיות בגיבוש זהות עצמית ודימוי עצמי נמוך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 ממניעים פליליים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העיד על התקופה הקשה אותה חווים הוא ומשפחתו בעקבות מעצרו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וסיפר על השבר הקשה בנפשו של בנו הקטן המצוי באשפוז כפוי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הדגיש את העובדה שהנאשם הבין את טעותו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וכיום פניו למקום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לתת לנאשם הזדמנות להשתקם וציין כי  הוא  עצמו יעשה את כל המאמצים לסייע בעניין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לקשיים עמם מתמודד הנאשם במסגרת בית הכלא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המשך חשיפתו לעולם העבריינות עלולה לדרדרו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בנאשם  ובתקופת המעצר הארוכה בה הוא נתון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אביבית אוחנה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התקופה הקשה והמורכבת אותה היא ומשפחתה עוברים בעקבות מעצרו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הדגישה כי הנאשם מצר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ומבין כי טעה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למצבו הקשה של אחיו של הנאשם שנשבר נפשית ממעצרו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ונזקקותו אליו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ביקשה להתחשב בנאש</w:t>
      </w:r>
      <w:r>
        <w:rPr>
          <w:rFonts w:ascii="David" w:hAnsi="David" w:eastAsia="Calibri"/>
          <w:rtl w:val="true"/>
        </w:rPr>
        <w:t>ם</w:t>
      </w:r>
      <w:r>
        <w:rPr>
          <w:rFonts w:ascii="David" w:hAnsi="David" w:eastAsia="Calibri"/>
          <w:rtl w:val="true"/>
        </w:rPr>
        <w:t xml:space="preserve"> וציינה כי היא ובעלה יעשו את כל מאמציהם על מנת לשקמו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ליאורה אוחנה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דודתו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החולשות של הנאשם ובעיקר הפנתה לגילו הצעיר והדימוי העצמי הנמוך ממנו סבל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הביא אותו להתחבר לחברה שולית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מנגד העידה גם על כוחותיו להשתקם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הדגישה את הקשיים בהם המשפחה נתונה ובעיקר הקושי הנפשי של הנאשם במהלך המעצר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כל בני המשפחה גודלו וחונכו לדבוק בדרך הישר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והביעה תקווה עמוקה לשיקומו 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והדגישה כי הותרתו במאסר תחטיא במקרה זה את המטרה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על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לקח אחריות</w:t>
      </w:r>
      <w:r>
        <w:rPr>
          <w:rFonts w:ascii="David" w:hAnsi="David" w:eastAsia="Calibri"/>
          <w:rtl w:val="true"/>
        </w:rPr>
        <w:t xml:space="preserve"> על 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הפנים את טעותו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הצר על הפגיעה במשפחתו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והבטיח כי מעשיו לא יישנו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תסקיר שירות המבחן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ascii="David" w:hAnsi="David" w:eastAsia="David"/>
          <w:rtl w:val="true"/>
        </w:rPr>
        <w:t>בתסקיר שירות המבחן פורטו בהרחבה נסיבותיו האישיות של הנאשם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מהתסקיר עולה כי הנאשם לוקח אחריות פורמאלית על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מתקשה להסביר את המניעים למעשיו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שלל סכסוכים עם אחרים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משליך את סיבת מעצרו על גורמים חיצוניים ומתקשה להתבונן בדפוסי התנהגותו ולהביע מוטיבציה אמיתית לשינוי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התרשם  כי רב נסתר על הגלוי אודות מהות קשריו השוליים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עם זאת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כגורמי סיכוי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מנה  את העובדה כי מדובר בצעיר ללא הרשעות קודמות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המבטא רצון להשתלבות בטיפול מתאים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קיומם של כוחות חיוביים שיכולים לעמוד לסייע בידו לשינוי מצבו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כי הנאשם מביע צער על מעורבותו בפלילים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מגלה תובנה באשר למחירים אותם הוא משלם בעקבות כך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וההתרשמות כי הנאשם בעל תובנות ראשוניות באשר לדרך התמודדותו עם מצוקות רגשיות באמצעות חיבור לסביבה שולית ודפוסי חשיבה והתנהגות עבריינים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במכלול השיקולים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העריך כי נדרש תהליך טיפולי מעמיק שיאפשר קבלת כלים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שיסייעו לנאשם לזהות ולבטא את קשייו הרגשיים לצד חיזוק דפוסי חשיבה נורמטיביים 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כן הוערך כי בהעדר טיפול מסוג זה קיים סיכון בינוני עד גבוה להישנות עבירות דומות בעתיד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לא בא בהמלצה טיפולית בעניינו של הנאשם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לצד זאת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שרות המבחן</w:t>
      </w:r>
      <w:r>
        <w:rPr>
          <w:rFonts w:ascii="David" w:hAnsi="David" w:eastAsia="David"/>
          <w:rtl w:val="true"/>
        </w:rPr>
        <w:t xml:space="preserve"> המליץ על ענישה מוחשית ובעלת גבולות ברורים העשויה לחדד עבורו את גבולות החוק ואת חומרת מעשיו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כן הומלץ כי ובמידה ויוטל על הנאשם מאסר בפועל מאחורי סורג ובריח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לשקול אפשרות שילובו בתהליך טיפולי מותאם לגילו הצעיר בהתאם לצרכיו הטיפוליים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391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26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2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29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עבירת הנשק הינם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הצורך בשמירה 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שלום הציבור ותחושת בטחונו מפני פגיעות בגוף ובנפש 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3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3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>)...</w:t>
      </w:r>
      <w:r>
        <w:rPr>
          <w:rFonts w:ascii="David" w:hAnsi="David" w:eastAsia="David"/>
          <w:b/>
          <w:b/>
          <w:bCs/>
          <w:rtl w:val="true"/>
        </w:rPr>
        <w:t>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העבירה של הפרעה לשוטר במילוי תפקידו פוגעת ביכולתם של גורמי אכיפת החוק לבצע את תפקידם בשמירה על הסדר הציבורי ועקרון שלטון החוק וכיבודו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8"/>
          <w:szCs w:val="8"/>
        </w:rPr>
      </w:pPr>
      <w:r>
        <w:rPr>
          <w:rFonts w:eastAsia="David" w:cs="David" w:ascii="David" w:hAnsi="David"/>
          <w:b/>
          <w:bCs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/>
          <w:rtl w:val="true"/>
        </w:rPr>
        <w:t>אשר לעבירות התעבורה המיוחסות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המוגנים הינם בעיקר הצורך להגן על שלומם וביטחונם של ציבור המשתמשים בדרך מפני נהגים מסוכנים ובכלל זה מפני מי שנוהג ברכב ללא רשות בזמן שהוא פסול מלנהוג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לעבירה של נהיגה בזמן פסילה ערך מוגן נוסף והוא החובה לקיים את החלטות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הקשור לעבירה של נהיגה בפסילה  ראה 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לוי 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6115/06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אבו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לבן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נדמה כי אין צורך להרחיב אודות החומרה הכרוכה בנהיגה בזמן פסילה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בביצוע מעשה כזה מסכן הנהג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שכבר הוכיח בעבר כי חוקי התעבורה אינם נר לרגליו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את שלום הציבור – נהגים והולכי רגל כאחד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הוא מבטא זלזול בצווים של בית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הוא מוכיח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לא ניתן להרחיק אותו נהג מהכביש כל עוד הדבר תלוי ברצונו הטוב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על כן נקבע בסעיף </w:t>
      </w:r>
      <w:r>
        <w:rPr>
          <w:rFonts w:cs="David" w:ascii="David" w:hAnsi="David"/>
          <w:b/>
          <w:bCs/>
        </w:rPr>
        <w:t>67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מי שהודע לו שנפסל מקבל או מהחזיק רישיון נהיגה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וכל עוד הפסילה בתקפה הוא נוהג ברכב שנהיגתו אסורה בלי רשיון לפי פקודה זו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דינו – מאסר שלוש שנים</w:t>
      </w:r>
      <w:r>
        <w:rPr>
          <w:rFonts w:cs="David" w:ascii="David" w:hAnsi="David"/>
          <w:b/>
          <w:bCs/>
          <w:rtl w:val="true"/>
        </w:rPr>
        <w:t>'"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38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סייע לנאשם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לשאת ולהוביל את הנשק בכך ש</w:t>
      </w:r>
      <w:r>
        <w:rPr>
          <w:rFonts w:ascii="David" w:hAnsi="David" w:eastAsia="David"/>
          <w:rtl w:val="true"/>
        </w:rPr>
        <w:t>נהג</w:t>
      </w:r>
      <w:r>
        <w:rPr>
          <w:rFonts w:ascii="David" w:hAnsi="David" w:eastAsia="David"/>
          <w:rtl w:val="true"/>
        </w:rPr>
        <w:t xml:space="preserve"> ברכב וה</w:t>
      </w:r>
      <w:r>
        <w:rPr>
          <w:rFonts w:ascii="David" w:hAnsi="David" w:eastAsia="David"/>
          <w:rtl w:val="true"/>
        </w:rPr>
        <w:t xml:space="preserve">סיע  את הנאשם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עם הנשק מ</w:t>
      </w:r>
      <w:r>
        <w:rPr>
          <w:rFonts w:ascii="David" w:hAnsi="David" w:eastAsia="David"/>
          <w:rtl w:val="true"/>
        </w:rPr>
        <w:t xml:space="preserve">מקום למקום בלא רשות בעליו </w:t>
      </w:r>
      <w:r>
        <w:rPr>
          <w:rFonts w:ascii="David" w:hAnsi="David" w:eastAsia="David"/>
          <w:rtl w:val="true"/>
        </w:rPr>
        <w:t>של הרכב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וביצע ניסיונות הימלטות מהמשטרה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אם לא ניתן לייחס לנאשם תכנון מוקדם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ascii="David" w:hAnsi="David" w:eastAsia="David"/>
          <w:rtl w:val="true"/>
        </w:rPr>
        <w:t xml:space="preserve">ידע על </w:t>
      </w:r>
      <w:r>
        <w:rPr>
          <w:rFonts w:ascii="David" w:hAnsi="David" w:eastAsia="David"/>
          <w:rtl w:val="true"/>
        </w:rPr>
        <w:t>קיומו של הנשק ברכב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כאשר מדובר בנשק שהיה מוכן לירי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ודי היה בביצוע פעולת דריכה ושחרור נ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 xml:space="preserve">צרה מצדו של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 מנת לעשות בו שימוש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גם העובדה שהנאשם סייע להוביל נשק ברחובות העיר בשעת צהריים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מהווה נסיבה מחמירה נוכח פוטנציאל הפגיעה בבני אדם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גם אם אניח לטובת הנאשם כי ידע על הנשק רק בעת תחילת הנסיעה ברכב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וכי </w:t>
      </w:r>
      <w:r>
        <w:rPr>
          <w:rFonts w:ascii="David" w:hAnsi="David"/>
          <w:rtl w:val="true"/>
        </w:rPr>
        <w:t xml:space="preserve">מדובר בפרק זמן קצר בו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סייע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בהובלת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מדובר ברכב שהיה מצוי בשליטת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נשא לוחית זיהוי מזויפת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 ניסיונות הימלטות מהמשטרה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הנשק  והתחמושת מצויים בתוך הרכב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בהתאם יש לקבוע כי מדובר בפעולות סיוע משמעותיות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720" w:end="0"/>
        <w:jc w:val="both"/>
        <w:rPr>
          <w:rFonts w:ascii="David" w:hAnsi="David" w:cs="David"/>
          <w:spacing w:val="10"/>
        </w:rPr>
      </w:pPr>
      <w:r>
        <w:rPr>
          <w:rFonts w:ascii="David" w:hAnsi="David"/>
          <w:spacing w:val="10"/>
          <w:rtl w:val="true"/>
        </w:rPr>
        <w:t>בצד עבירת הסיוע קבוע עונש שגובהו מחצית מעונשו של המבצע העיקרי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ויש להביא זאת בחשבון במסגרת קביעת מתחם העונש ההולם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עם זאת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לא מדובר בחישוב אריתמטי בהכרח ויש להביא בחשבון את כלל הנסיבות לרבות חלקו של המסייע בביצוע העבירה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ר</w:t>
      </w:r>
      <w:r>
        <w:rPr>
          <w:rFonts w:cs="David" w:ascii="David" w:hAnsi="David"/>
          <w:spacing w:val="10"/>
          <w:rtl w:val="true"/>
        </w:rPr>
        <w:t xml:space="preserve">' </w:t>
      </w:r>
      <w:r>
        <w:rPr>
          <w:rFonts w:ascii="David" w:hAnsi="David"/>
          <w:spacing w:val="10"/>
          <w:rtl w:val="true"/>
        </w:rPr>
        <w:t xml:space="preserve">בהקשר זה  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4463/12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ארנבורג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spacing w:val="10"/>
          <w:u w:val="single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Normal"/>
        <w:shd w:fill="FFFFFF" w:val="clear"/>
        <w:spacing w:lineRule="atLeast" w:line="360" w:before="0" w:after="0"/>
        <w:ind w:start="785" w:end="0"/>
        <w:contextualSpacing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hd w:fill="FFFFFF" w:val="clear"/>
        <w:spacing w:lineRule="atLeast" w:line="360" w:before="0" w:after="0"/>
        <w:ind w:start="720" w:end="0"/>
        <w:contextualSpacing/>
        <w:jc w:val="both"/>
        <w:rPr>
          <w:rFonts w:ascii="David" w:hAnsi="David" w:cs="David"/>
          <w:spacing w:val="10"/>
        </w:rPr>
      </w:pPr>
      <w:r>
        <w:rPr>
          <w:rFonts w:ascii="David" w:hAnsi="David"/>
          <w:spacing w:val="10"/>
          <w:rtl w:val="true"/>
        </w:rPr>
        <w:t xml:space="preserve">חלקו של הנאשם </w:t>
      </w:r>
      <w:r>
        <w:rPr>
          <w:rFonts w:cs="David" w:ascii="David" w:hAnsi="David"/>
          <w:spacing w:val="10"/>
        </w:rPr>
        <w:t>2</w:t>
      </w:r>
      <w:r>
        <w:rPr>
          <w:rFonts w:cs="David" w:ascii="David" w:hAnsi="David"/>
          <w:spacing w:val="10"/>
          <w:rtl w:val="true"/>
        </w:rPr>
        <w:t xml:space="preserve">  </w:t>
      </w:r>
      <w:r>
        <w:rPr>
          <w:rFonts w:ascii="David" w:hAnsi="David"/>
          <w:spacing w:val="10"/>
          <w:rtl w:val="true"/>
        </w:rPr>
        <w:t xml:space="preserve">קטן באופן משמעותי  מחלקו של הנאשם </w:t>
      </w:r>
      <w:r>
        <w:rPr>
          <w:rFonts w:cs="David" w:ascii="David" w:hAnsi="David"/>
          <w:spacing w:val="10"/>
        </w:rPr>
        <w:t>1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ובא לידי ביטוי בסיוע  כפי שפורט לעיל</w:t>
      </w:r>
      <w:r>
        <w:rPr>
          <w:rFonts w:cs="David" w:ascii="David" w:hAnsi="David"/>
          <w:spacing w:val="10"/>
          <w:rtl w:val="true"/>
        </w:rPr>
        <w:t xml:space="preserve">. </w:t>
      </w:r>
    </w:p>
    <w:p>
      <w:pPr>
        <w:pStyle w:val="Normal"/>
        <w:shd w:fill="FFFFFF" w:val="clear"/>
        <w:spacing w:lineRule="atLeast" w:line="360" w:before="0" w:after="0"/>
        <w:ind w:start="785" w:end="0"/>
        <w:contextualSpacing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הנסיבות המפורטות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כי מידת הפגיעה בערכים המוגנים ביחס לעבירת הסיוע לנשיאת והובלת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הינה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בכל הנוגע לעבירה של הפרעה לשוטר במילוי  תפקידו ועבירות התעבורה המיוחסות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הינו מרכזי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בניסיונותיו להימלט מהשוטרים ביצע עבירות תעבורה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שהבחין בניידת המשטרה המשיך בנסיעה חרף העובדה שהשוטרים כרזו לו לעצור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בנהיגה עבריינית  לשם התחמקות מהשוטרים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שרק במזל הסתיימה ללא פגיעה בציבור משתמשי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 היה להפסיק את נהיגתו בכל שלב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הוא בחר שלא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כך כשהוא מצוי בפסילה שהוטלה עליו על ידי קצין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פוליסת ביטוח ורישיון רכב תקפים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שנהג בפסילה מהווה נסיבה משמעותית לחומרה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במכלול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כי במקרה זה הפגיעה בערכים המוגנים ביחס לעבירות של הפרעה לשוטר במילוי תפקידו ועבירות התעבורה מצויה ברף הבינוני ומעלה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 יותר לרף הבינוני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4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41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Calibri"/>
          <w:b/>
          <w:b/>
          <w:bCs/>
          <w:rtl w:val="true"/>
        </w:rPr>
        <w:t>ב</w:t>
      </w:r>
      <w:hyperlink r:id="rId4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5807/20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 נגד מדינת ישראל</w:t>
      </w:r>
      <w:r>
        <w:rPr>
          <w:rFonts w:ascii="David" w:hAnsi="David" w:eastAsia="Calibri"/>
          <w:rtl w:val="true"/>
        </w:rPr>
        <w:t xml:space="preserve"> הנאשם הורשע בעבירות של נשיאת נשק והובלתו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בית המשפט קבע מתחם עונש הולם אשר נע בין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והוטלו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הקל בעונשו והטיל עליו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בעבודות שירות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נוכח תסקיר שירות המבחן שהוגש בעניינו אשר המליץ על ענישה טיפולית בצד מאסר בעבודות שירות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</w:t>
      </w:r>
      <w:hyperlink r:id="rId4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נאשם שוהה בלתי חוקי נשא אקדח בשטחי ישראל ונמלט משוטר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צעיר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בעבירות של נשיאת נשק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וכניסה ושהייה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עונשו של הנאשם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שנקבע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בין סורג ובריח</w:t>
      </w:r>
      <w:r>
        <w:rPr>
          <w:rFonts w:eastAsia="Calibri" w:cs="David" w:ascii="David" w:hAnsi="David"/>
          <w:u w:val="single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זועבי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30.8.2021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נאשם בן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חולה טרשת נפוצה נדון בגין נשיאת שני אקדחים על רקע סכסוך פעיל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למאסר בן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של הנאשם נדחה חרף מצבו הרפואי וסולחה שנערכה בין המשפחות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4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אבו גאנם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ישראל</w:t>
      </w:r>
      <w:r>
        <w:rPr>
          <w:rFonts w:ascii="David" w:hAnsi="David" w:eastAsia="Calibri"/>
          <w:rtl w:val="true"/>
        </w:rPr>
        <w:t xml:space="preserve">  הנאשם בעל עבר פלילי הורשע בעבירה של נשיאת והובלת אקדח ומחסנית ריקה ברכבו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נגזרו </w:t>
      </w: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ומאסר מותנה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5856/22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טאיע סויטאת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נשיאה והובלת אקדח ומחסנית ריקה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שנסע ברכב עם אדם אחר כשהוא נושא את האקדח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ובהגיעו למחסום משטרתי הנאשם יצא מהרכב והחל להימלט מהמקום ובחלוף מרדף 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שבמהלכו השליך את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930/22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אוסמה חטיב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בעבירה של נשיאה והובלת נשק והסתייעות ברכב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שנשא והוביל ברכב בו 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חצי אוטומטי ומחסנית ריקה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 xml:space="preserve">. </w:t>
      </w:r>
      <w:hyperlink r:id="rId4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44453-10-21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גבארין ואח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eastAsia="David" w:cs="David" w:ascii="David" w:hAnsi="David"/>
          <w:rtl w:val="true"/>
        </w:rPr>
        <w:t xml:space="preserve"> , </w:t>
      </w:r>
      <w:r>
        <w:rPr>
          <w:rFonts w:ascii="David" w:hAnsi="David" w:eastAsia="David"/>
          <w:rtl w:val="true"/>
        </w:rPr>
        <w:t>שם דובר בשני נאשמים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כאשר הראשון הורשע בעבירות של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 xml:space="preserve">והנאשם השני הורשע בעבירת סיוע לעבירות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 xml:space="preserve">נקבע  מתחם עונש הולם ביחס לעבירה המושלמת של נשיאה והובלת נשק בין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ולגבי עבירת הסיוע נקבע מתחם עונש הולם </w:t>
      </w:r>
      <w:r>
        <w:rPr>
          <w:rFonts w:ascii="David" w:hAnsi="David" w:eastAsia="David"/>
          <w:rtl w:val="true"/>
        </w:rPr>
        <w:t>ש</w:t>
      </w:r>
      <w:r>
        <w:rPr>
          <w:rFonts w:ascii="David" w:hAnsi="David" w:eastAsia="David"/>
          <w:rtl w:val="true"/>
        </w:rPr>
        <w:t xml:space="preserve">בין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שאפשר שירוצו בעבודות שירות ועד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הנאשם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הוטלו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 ועל הנאשם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הוטלו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בעבודות שירות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hyperlink r:id="rId4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38368-09-21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איטאס ואח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eastAsia="David" w:cs="David" w:ascii="David" w:hAnsi="David"/>
          <w:rtl w:val="true"/>
        </w:rPr>
        <w:t xml:space="preserve"> –</w:t>
      </w:r>
      <w:r>
        <w:rPr>
          <w:rFonts w:ascii="David" w:hAnsi="David" w:eastAsia="David"/>
          <w:rtl w:val="true"/>
        </w:rPr>
        <w:t>הנאשם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הורשע בעבירות של סיוע בנשיאת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אביזר נשק ותחמושת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עונש הולם ביחס לעבירת הסיוע אשר נע בין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 לצד ענישה נלווית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הוטל מאסר בפועל לתקופה של 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7626-04-20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u w:val="single"/>
          <w:rtl w:val="true"/>
        </w:rPr>
        <w:t xml:space="preserve">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אעמר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בסיוע לנשיאת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שנהג והסיע ברכב את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החזיק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תואמת ותחמושת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ציין כי היה מקום להטיל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ראה לנכון להתחשב בתקופת מעצרו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2391/18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חאג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יחיא</w:t>
      </w:r>
      <w:r>
        <w:rPr>
          <w:rFonts w:ascii="David" w:hAnsi="David"/>
          <w:b/>
          <w:b/>
          <w:bCs/>
          <w:u w:val="single"/>
          <w:rtl w:val="true"/>
        </w:rPr>
        <w:t xml:space="preserve">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הורשע בעבירות של נהיגה בפזיזות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וסיוע לנשיאה והובלת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נסע עם אחר ברכב בעוד האחר נושא עליו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בידיעתו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נהג הנאשם ברכב בפזיזות וסיכן את משתמשי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ענישה הנע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ציין כי בליבת המעשים נמצאת עבירת הנהיגה בפזיזות ולא עבירת הסיוע לנשיאת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שהייתה ברף הנמוך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 ללא עבר פלילי ובעל המלצה שיקומית משירות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משך את הערעור שהוגש על ידו על חומרת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57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 xml:space="preserve">המאשימה הפנתה למספר פסקי דין כאשר מתחמי העונש שנקבעו נעים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והעונשים נעים בין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כל הפסקי דין שהוגשו מתייחסים לעבירה המלאה ולא לעבירת הסיוע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הגיש פסיקה כאשר מתחמי הענישה שנקבעו נעים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והעונשים שהוטלו נעים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בעבודות שירות ועד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65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Calibri" w:hAnsi="Calibri" w:cs="Calibri"/>
          <w:rtl w:val="true"/>
        </w:rPr>
        <w:t>בכל הקשור לעבירה של נהיגה בזמן פסילה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קיימת קשת רחבה של 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 מקרה ונסיבותיו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hyperlink r:id="rId5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5244/17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גבריאל תורג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מן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בנהיגה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ביטוח וללא רישיון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הפעלת שני מאסרים מותנים בחופף לעונש המאסר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חפיפה נוספת בינם לבין עצמם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ועונשים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קולת העונש התקבל כך שעונש המאסר הועמד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בפועל ועונשי המאסר המותנים שהופעלו ירוצו במצטבר בינם לבין עצמם ובמצטבר לעונש המאסר לריצוי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שבסה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הוטלו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נדחתה</w:t>
      </w:r>
      <w:r>
        <w:rPr>
          <w:rFonts w:cs="David" w:ascii="David" w:hAnsi="David"/>
          <w:rtl w:val="true"/>
        </w:rPr>
        <w:t xml:space="preserve">. </w:t>
      </w:r>
      <w:hyperlink r:id="rId5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8438/17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חסן כיאל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בנהיגה ללא רישיון נהיגה בתוקף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בזמן פסילה ושימוש ברכב ללא פוליסת ביטוח בת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ונגזרו עליו הארכת עונש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ועונשים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שהופעל מאסר מותנה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והוטלו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בחופף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 רשות ערעור נדחתה</w:t>
      </w:r>
      <w:r>
        <w:rPr>
          <w:rFonts w:cs="David" w:ascii="David" w:hAnsi="David"/>
          <w:rtl w:val="true"/>
        </w:rPr>
        <w:t xml:space="preserve">. 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155/23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נאור ברנס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נהיגה בזמן פסילה ברכב משא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ברכב על ידי בלתי מורשה לסוג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ללא רישיון נהיגה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 החלפת דסקה יומית במשאית ונהיגה ברכב ללא ביטוח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בערעור ובקשת רשות ערעור נדחו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</w:t>
      </w:r>
      <w:hyperlink r:id="rId5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5638/13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נכפולגר נ</w:t>
      </w:r>
      <w:r>
        <w:rPr>
          <w:rFonts w:cs="Calibri" w:ascii="Calibri" w:hAnsi="Calibri"/>
          <w:b/>
          <w:bCs/>
          <w:u w:val="single"/>
          <w:rtl w:val="true"/>
        </w:rPr>
        <w:t xml:space="preserve">' </w:t>
      </w:r>
      <w:r>
        <w:rPr>
          <w:rFonts w:ascii="Calibri" w:hAnsi="Calibri" w:cs="Calibri"/>
          <w:b/>
          <w:b/>
          <w:bCs/>
          <w:u w:val="single"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המערער הורשע  בעבירות של נהיגה בזמן 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 ללא רישיון נהיגה תקף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ושימוש ברכב ללא פוליסת ביטוח בת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תוקף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המבקש הושתו בין היתר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והופעל מאסר על תנאי לתקופה של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בחופף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 הערעור הופחת  עונש המאסר בפועל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והמאסר המותנה הופעל כולו בחופף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בקשת רשות הערעור נדחתה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  <w:u w:val="single"/>
        </w:rPr>
      </w:pPr>
      <w:r>
        <w:rPr>
          <w:rFonts w:eastAsia="David" w:cs="David" w:ascii="David" w:hAnsi="David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נוכח העובדה שמדובר באירוע אחד כאשר העבירות קשורות האחת בשנייה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לקבוע מתחם ענישה אחד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גם הייתה עתירת הצדדים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18"/>
          <w:szCs w:val="18"/>
          <w:u w:val="single"/>
        </w:rPr>
      </w:pPr>
      <w:r>
        <w:rPr>
          <w:rFonts w:cs="David" w:ascii="David" w:hAnsi="David"/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Times New Roman"/>
        </w:rPr>
      </w:pPr>
      <w:r>
        <w:rPr>
          <w:rFonts w:ascii="David" w:hAnsi="David"/>
          <w:rtl w:val="true"/>
        </w:rPr>
        <w:t xml:space="preserve">הדין מבחין בין עונשו של מבצע עיקרי לבין מסייע במובן זה שהעונש המרבי בגין ביצוע עבירת סיוע הוא מחצית העונש המרבי שנקבע למבצע העיקרי </w:t>
      </w:r>
      <w:r>
        <w:rPr>
          <w:rFonts w:cs="David" w:ascii="David" w:hAnsi="David"/>
          <w:rtl w:val="true"/>
        </w:rPr>
        <w:t>(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הקביעה הנורמטיבית ביחס לעונש המרבי של המסייע לעומת המבצע העיקרי מבטאת את התובנה כי תרומתו של המסייע לביצוע עבירה פחותה מתרומתו של המבצע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ראה </w:t>
      </w:r>
      <w:hyperlink r:id="rId5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4876/15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</w:t>
      </w:r>
      <w:r>
        <w:rPr>
          <w:rFonts w:ascii="David" w:hAnsi="David"/>
          <w:rtl w:val="true"/>
        </w:rPr>
        <w:t>נקבע כי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המסייע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 תרומתו למעשה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כשמו כן הוא – נותר מחוץ למעגל העברייני הראשוני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ולכן אחריותו נחשבת פחותה</w:t>
      </w:r>
      <w:r>
        <w:rPr>
          <w:rFonts w:cs="David" w:ascii="David" w:hAnsi="David"/>
          <w:b/>
          <w:bCs/>
          <w:rtl w:val="true"/>
        </w:rPr>
        <w:t>" (</w:t>
      </w:r>
      <w:hyperlink r:id="rId5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10153/07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קייסי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30.7.2012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ראוי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בבואו של בית המשפט לגזור את דינו של המסייע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יעמיד בית המשפט לנגד עיניו את היחס שקבע המחוקק בין עונשו של המסייע לעונשו של המבצע העיקרי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עניין פלוני</w:t>
      </w:r>
      <w:r>
        <w:rPr>
          <w:rFonts w:cs="David" w:ascii="David" w:hAnsi="David"/>
          <w:b/>
          <w:bCs/>
          <w:rtl w:val="true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העונש המרבי הקבוע בחוק ביחס לעביר</w:t>
      </w:r>
      <w:r>
        <w:rPr>
          <w:rFonts w:ascii="David" w:hAnsi="David"/>
          <w:rtl w:val="true"/>
        </w:rPr>
        <w:t>ת סיוע לנשיאת והובלת נשק הוא</w:t>
      </w:r>
      <w:r>
        <w:rPr>
          <w:rFonts w:ascii="David" w:hAnsi="David"/>
          <w:rtl w:val="true"/>
        </w:rPr>
        <w:t xml:space="preserve"> </w:t>
      </w:r>
      <w:r>
        <w:rPr>
          <w:rFonts w:eastAsia="David" w:cs="David" w:ascii="David" w:hAnsi="David"/>
        </w:rPr>
        <w:t>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שנות מאסר 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15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>לאחר ששקלתי את נסיבות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מידת הפגיעה בערכים המוגנים והפסיקה הנהוגה אני סבור כי מתחם העונש ההולם </w:t>
      </w:r>
      <w:r>
        <w:rPr>
          <w:rFonts w:ascii="David" w:hAnsi="David" w:eastAsia="David"/>
          <w:rtl w:val="true"/>
        </w:rPr>
        <w:t xml:space="preserve">ביחס לכלל העבירות </w:t>
      </w:r>
      <w:r>
        <w:rPr>
          <w:rFonts w:ascii="David" w:hAnsi="David" w:eastAsia="David"/>
          <w:rtl w:val="true"/>
        </w:rPr>
        <w:t xml:space="preserve">צריך לכלול רכיב </w:t>
      </w:r>
      <w:r>
        <w:rPr>
          <w:rFonts w:ascii="David" w:hAnsi="David"/>
          <w:rtl w:val="true"/>
        </w:rPr>
        <w:t xml:space="preserve"> של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יעלה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>
          <w:rFonts w:ascii="David" w:hAnsi="David" w:cs="David"/>
          <w:b/>
          <w:bCs/>
          <w:sz w:val="8"/>
          <w:szCs w:val="8"/>
          <w:u w:val="single"/>
        </w:rPr>
      </w:pPr>
      <w:r>
        <w:rPr>
          <w:rFonts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rtl w:val="true"/>
        </w:rPr>
        <w:t>בכל הנוגע לרכיב הפסילה בפועל ביחס לעבירות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שמתחם העונש ההולם צריך לכלול פסילה בפועל שלא תפחת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ולא תעלה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והעדר כל עבר פלילי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כן יינתן משקל לנסיבותיו האישיות של הנאשם 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ומחוות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>דעת הפסיכולוגית שהוגשה בעניינו שם הומלץ על הערכה פסיכיאטרית וטיפול בהתאם בשל מאפייני דיכאון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חרדה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ופגיעה ניכרת בתפקודו הפיזיולוגי הרגשי והקוגניטיבי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לציין כי מדובר בחוות דעת מסוף שנת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משקל נוסף יינתן לתקופת המעצר המשמעותית בה הנאשם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והשלכות המעצר והמאסר הצפוי על הנאשם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בפרט נוכח העובדה שמדובר במאסרו הראשון של אדם צעיר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</w:t>
      </w:r>
      <w:r>
        <w:rPr>
          <w:rFonts w:ascii="David" w:hAnsi="David" w:eastAsia="David"/>
          <w:rtl w:val="true"/>
        </w:rPr>
        <w:t xml:space="preserve">אופיו </w:t>
      </w:r>
      <w:r>
        <w:rPr>
          <w:rFonts w:ascii="David" w:hAnsi="David" w:eastAsia="David"/>
          <w:rtl w:val="true"/>
        </w:rPr>
        <w:t>טרם התגבש סופית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יינתן משקל לפגיעה המשמעותית שנגרמה למשפחתו של הנאשם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הפגיעה הקשה במשפחה ועל כאבה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ניתן היה ללמוד מדברי בני המשפחה אשר </w:t>
      </w:r>
      <w:r>
        <w:rPr>
          <w:rFonts w:ascii="David" w:hAnsi="David" w:eastAsia="David"/>
          <w:rtl w:val="true"/>
        </w:rPr>
        <w:t xml:space="preserve">פירטו </w:t>
      </w:r>
      <w:r>
        <w:rPr>
          <w:rFonts w:ascii="David" w:hAnsi="David" w:eastAsia="David"/>
          <w:rtl w:val="true"/>
        </w:rPr>
        <w:t>בין היתר על הפגיעה הקשה באחיו הקטן של הנאשם שמצבו הנפשי התדרדר בעקבות מעצרו של הנאשם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בנוסף יובאו בחשבון גורמי הסיכוי  לשיקום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והעובדה שמאחורי הנאשם עומדת משפחה תומכת ש</w:t>
      </w:r>
      <w:r>
        <w:rPr>
          <w:rFonts w:ascii="David" w:hAnsi="David" w:eastAsia="Calibri"/>
          <w:rtl w:val="true"/>
        </w:rPr>
        <w:t xml:space="preserve">יכולה לסייע </w:t>
      </w:r>
      <w:r>
        <w:rPr>
          <w:rFonts w:ascii="David" w:hAnsi="David" w:eastAsia="Calibri"/>
          <w:rtl w:val="true"/>
        </w:rPr>
        <w:t xml:space="preserve"> לו בהקשר זה</w:t>
      </w:r>
      <w:r>
        <w:rPr>
          <w:rFonts w:eastAsia="Calibri"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להביא בחשבון את גורמי הסיכון להישנות עבירות בהיעדר הליך שיקומי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במכלול הנסיבות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סבור שנכון לגזור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מאסר בפועל לתקופה הקרובה יותר לרף התחתון של מתחם העונש ההולם וביחס לרכיב הפסילה  בפועל לתקופה המתקרבת למרכז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גוזר על הנאשם 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בפועל לתקופה של  </w:t>
      </w:r>
      <w:r>
        <w:rPr>
          <w:rFonts w:eastAsia="Calibri" w:cs="David" w:ascii="David" w:hAnsi="David"/>
          <w:b/>
          <w:bCs/>
        </w:rPr>
        <w:t>18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בניכוי ימי מעצרו מיום </w:t>
      </w:r>
      <w:r>
        <w:rPr>
          <w:rFonts w:eastAsia="Calibri" w:cs="David" w:ascii="David" w:hAnsi="David"/>
          <w:b/>
          <w:bCs/>
        </w:rPr>
        <w:t>20/12/22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ועד 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 לתקופה של 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עבירת נשק מסוג פשע 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עונש מאסר על תנאי לתקופה של </w:t>
      </w:r>
      <w:r>
        <w:rPr>
          <w:rFonts w:eastAsia="Calibri" w:cs="David" w:ascii="David" w:hAnsi="David"/>
          <w:b/>
          <w:bCs/>
        </w:rPr>
        <w:t>6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 עבירת נשק מסוגן עוון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או עבירה של נהיגה בזמן פסילה או עבירה של הפרעה לשוטר במילוי תפקידו או עבירה של שימוש ברכב ללא רשות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</w:rPr>
      </w:pPr>
      <w:r>
        <w:rPr>
          <w:rFonts w:eastAsia="Calibri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>אני פוסל את הנאשם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מלנהוג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>או מלקבל ו</w:t>
      </w:r>
      <w:r>
        <w:rPr>
          <w:rFonts w:eastAsia="David" w:cs="David" w:ascii="David" w:hAnsi="David"/>
          <w:b/>
          <w:bCs/>
          <w:rtl w:val="true"/>
        </w:rPr>
        <w:t>/</w:t>
      </w:r>
      <w:r>
        <w:rPr>
          <w:rFonts w:ascii="David" w:hAnsi="David" w:eastAsia="David"/>
          <w:b/>
          <w:b/>
          <w:bCs/>
          <w:rtl w:val="true"/>
        </w:rPr>
        <w:t xml:space="preserve">או מלהחזיק רישיון נהיגה לתקופה של 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/>
          <w:bCs/>
          <w:rtl w:val="true"/>
        </w:rPr>
        <w:t>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שקיימת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מוסברת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תצהיר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אני גוזר על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 פסילה על תנאי  לתקופה של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והתנאי הוא שלא יעבור בתוך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מיום שחרורו ממאסרו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עבירה של נהיגה  בזמן פסילה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אני גוזר על הנאשם </w:t>
      </w:r>
      <w:r>
        <w:rPr>
          <w:rFonts w:eastAsia="Calibri" w:cs="David" w:ascii="David" w:hAnsi="David"/>
          <w:b/>
          <w:bCs/>
        </w:rPr>
        <w:t>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קנס  כספי בסך </w:t>
      </w:r>
      <w:r>
        <w:rPr>
          <w:rFonts w:eastAsia="Calibri" w:cs="David" w:ascii="David" w:hAnsi="David"/>
          <w:b/>
          <w:bCs/>
        </w:rPr>
        <w:t>6,000</w:t>
      </w:r>
      <w:r>
        <w:rPr>
          <w:rFonts w:eastAsia="Calibri" w:cs="David" w:ascii="David" w:hAnsi="David"/>
          <w:b/>
          <w:bCs/>
          <w:rtl w:val="true"/>
        </w:rPr>
        <w:t xml:space="preserve"> ₪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</w:rPr>
        <w:t>40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ימי מאסר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  <w:tab/>
      </w:r>
      <w:r>
        <w:rPr>
          <w:rFonts w:ascii="David" w:hAnsi="David" w:eastAsia="Calibri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Calibri" w:cs="David" w:ascii="David" w:hAnsi="David"/>
          <w:b/>
          <w:bCs/>
        </w:rPr>
        <w:t>01/01/2024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Calibri"/>
          <w:rtl w:val="true"/>
        </w:rPr>
        <w:t>תשומת לב הנאשם שיש לשלם את הקנס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60">
        <w:r>
          <w:rPr>
            <w:rStyle w:val="Hyperlink"/>
            <w:rFonts w:eastAsia="Calibri" w:cs="David" w:ascii="David" w:hAnsi="David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>".</w:t>
      </w: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תשומת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למבוגרים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Calibri" w:cs="David" w:ascii="David" w:hAnsi="David"/>
          <w:b/>
          <w:bCs/>
        </w:rPr>
        <w:t>45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יום מהיום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3537-01-23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אברמוב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40.if" TargetMode="External"/><Relationship Id="rId6" Type="http://schemas.openxmlformats.org/officeDocument/2006/relationships/hyperlink" Target="http://www.nevo.co.il/law/70301/40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413c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2.a" TargetMode="External"/><Relationship Id="rId13" Type="http://schemas.openxmlformats.org/officeDocument/2006/relationships/hyperlink" Target="http://www.nevo.co.il/law/5227/67" TargetMode="External"/><Relationship Id="rId14" Type="http://schemas.openxmlformats.org/officeDocument/2006/relationships/hyperlink" Target="http://www.nevo.co.il/law/74501" TargetMode="External"/><Relationship Id="rId15" Type="http://schemas.openxmlformats.org/officeDocument/2006/relationships/hyperlink" Target="http://www.nevo.co.il/law/74501/2.a.b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13c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law/5227/67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5227/2.a" TargetMode="External"/><Relationship Id="rId24" Type="http://schemas.openxmlformats.org/officeDocument/2006/relationships/hyperlink" Target="http://www.nevo.co.il/law/74501/2.a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fCa(1)S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a;40.if" TargetMode="External"/><Relationship Id="rId29" Type="http://schemas.openxmlformats.org/officeDocument/2006/relationships/hyperlink" Target="http://www.nevo.co.il/law/70301/40a" TargetMode="External"/><Relationship Id="rId30" Type="http://schemas.openxmlformats.org/officeDocument/2006/relationships/hyperlink" Target="http://www.nevo.co.il/case/27894608" TargetMode="External"/><Relationship Id="rId31" Type="http://schemas.openxmlformats.org/officeDocument/2006/relationships/hyperlink" Target="http://www.nevo.co.il/case/2815213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601503" TargetMode="External"/><Relationship Id="rId34" Type="http://schemas.openxmlformats.org/officeDocument/2006/relationships/hyperlink" Target="http://www.nevo.co.il/case/6034921" TargetMode="External"/><Relationship Id="rId35" Type="http://schemas.openxmlformats.org/officeDocument/2006/relationships/hyperlink" Target="http://www.nevo.co.il/case/26913995" TargetMode="External"/><Relationship Id="rId36" Type="http://schemas.openxmlformats.org/officeDocument/2006/relationships/hyperlink" Target="http://www.nevo.co.il/case/6049859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case/5762686" TargetMode="External"/><Relationship Id="rId39" Type="http://schemas.openxmlformats.org/officeDocument/2006/relationships/hyperlink" Target="http://www.nevo.co.il/case/5587527" TargetMode="External"/><Relationship Id="rId40" Type="http://schemas.openxmlformats.org/officeDocument/2006/relationships/hyperlink" Target="http://www.nevo.co.il/case/6473037" TargetMode="External"/><Relationship Id="rId41" Type="http://schemas.openxmlformats.org/officeDocument/2006/relationships/hyperlink" Target="http://www.nevo.co.il/case/6950458" TargetMode="External"/><Relationship Id="rId42" Type="http://schemas.openxmlformats.org/officeDocument/2006/relationships/hyperlink" Target="http://www.nevo.co.il/case/26934681" TargetMode="External"/><Relationship Id="rId43" Type="http://schemas.openxmlformats.org/officeDocument/2006/relationships/hyperlink" Target="http://www.nevo.co.il/case/28883087" TargetMode="External"/><Relationship Id="rId44" Type="http://schemas.openxmlformats.org/officeDocument/2006/relationships/hyperlink" Target="http://www.nevo.co.il/case/27494821" TargetMode="External"/><Relationship Id="rId45" Type="http://schemas.openxmlformats.org/officeDocument/2006/relationships/hyperlink" Target="http://www.nevo.co.il/case/28722692" TargetMode="External"/><Relationship Id="rId46" Type="http://schemas.openxmlformats.org/officeDocument/2006/relationships/hyperlink" Target="http://www.nevo.co.il/case/28916087" TargetMode="External"/><Relationship Id="rId47" Type="http://schemas.openxmlformats.org/officeDocument/2006/relationships/hyperlink" Target="http://www.nevo.co.il/case/28300349" TargetMode="External"/><Relationship Id="rId48" Type="http://schemas.openxmlformats.org/officeDocument/2006/relationships/hyperlink" Target="http://www.nevo.co.il/case/27982146" TargetMode="External"/><Relationship Id="rId49" Type="http://schemas.openxmlformats.org/officeDocument/2006/relationships/hyperlink" Target="http://www.nevo.co.il/case/28020221" TargetMode="External"/><Relationship Id="rId50" Type="http://schemas.openxmlformats.org/officeDocument/2006/relationships/hyperlink" Target="http://www.nevo.co.il/case/26589532" TargetMode="External"/><Relationship Id="rId51" Type="http://schemas.openxmlformats.org/officeDocument/2006/relationships/hyperlink" Target="http://www.nevo.co.il/case/23825396" TargetMode="External"/><Relationship Id="rId52" Type="http://schemas.openxmlformats.org/officeDocument/2006/relationships/hyperlink" Target="http://www.nevo.co.il/case/22793926" TargetMode="External"/><Relationship Id="rId53" Type="http://schemas.openxmlformats.org/officeDocument/2006/relationships/hyperlink" Target="http://www.nevo.co.il/case/23226232" TargetMode="External"/><Relationship Id="rId54" Type="http://schemas.openxmlformats.org/officeDocument/2006/relationships/hyperlink" Target="http://www.nevo.co.il/case/29277417" TargetMode="External"/><Relationship Id="rId55" Type="http://schemas.openxmlformats.org/officeDocument/2006/relationships/hyperlink" Target="http://www.nevo.co.il/case/7948470" TargetMode="External"/><Relationship Id="rId56" Type="http://schemas.openxmlformats.org/officeDocument/2006/relationships/hyperlink" Target="http://www.nevo.co.il/law/70301/32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20513526" TargetMode="External"/><Relationship Id="rId59" Type="http://schemas.openxmlformats.org/officeDocument/2006/relationships/hyperlink" Target="http://www.nevo.co.il/case/5833181" TargetMode="External"/><Relationship Id="rId60" Type="http://schemas.openxmlformats.org/officeDocument/2006/relationships/hyperlink" Target="http://www.eca.gov.il/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2024-08-26T14:23:00Z</dcterms:created>
  <dc:creator> </dc:creator>
  <dc:description/>
  <cp:keywords/>
  <dc:language>en-IL</dc:language>
  <cp:lastModifiedBy>h1</cp:lastModifiedBy>
  <dcterms:modified xsi:type="dcterms:W3CDTF">2024-08-26T14:23:00Z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אברמוב;נהוראי-מאיר אוחנה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27894608;5601503;6034921;26913995;6049859;5762686;5587527;6473037;6950458;26934681;28883087;27494821;28722692;28916087;28300349;27982146;28020221;26589532;23825396;22793926;23226232;29277417;7948470;20513526;5833181</vt:lpwstr>
  </property>
  <property fmtid="{D5CDD505-2E9C-101B-9397-08002B2CF9AE}" pid="9" name="CITY">
    <vt:lpwstr>חי'</vt:lpwstr>
  </property>
  <property fmtid="{D5CDD505-2E9C-101B-9397-08002B2CF9AE}" pid="10" name="DATE">
    <vt:lpwstr>20230821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70301/144.b;031;413c;275;fCa(1)S;040a:2;040.if;032</vt:lpwstr>
  </property>
  <property fmtid="{D5CDD505-2E9C-101B-9397-08002B2CF9AE}" pid="15" name="LAWLISTTMP2">
    <vt:lpwstr>5227/067;002.a</vt:lpwstr>
  </property>
  <property fmtid="{D5CDD505-2E9C-101B-9397-08002B2CF9AE}" pid="16" name="LAWLISTTMP3">
    <vt:lpwstr>74501/002.a.b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3537</vt:lpwstr>
  </property>
  <property fmtid="{D5CDD505-2E9C-101B-9397-08002B2CF9AE}" pid="24" name="NEWPARTB">
    <vt:lpwstr>01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390020230821</vt:lpwstr>
  </property>
  <property fmtid="{D5CDD505-2E9C-101B-9397-08002B2CF9AE}" pid="36" name="TYPE_N_DATE">
    <vt:lpwstr>39020230821</vt:lpwstr>
  </property>
  <property fmtid="{D5CDD505-2E9C-101B-9397-08002B2CF9AE}" pid="37" name="VOLUME">
    <vt:lpwstr/>
  </property>
  <property fmtid="{D5CDD505-2E9C-101B-9397-08002B2CF9AE}" pid="38" name="WORDNUMPAGES">
    <vt:lpwstr>13</vt:lpwstr>
  </property>
</Properties>
</file>